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6751" w14:textId="77777777" w:rsidR="00876C6D" w:rsidRPr="006B2569" w:rsidRDefault="000E7CC5" w:rsidP="00847272">
      <w:pPr>
        <w:spacing w:after="0" w:line="276" w:lineRule="auto"/>
        <w:rPr>
          <w:rFonts w:ascii="Verdana" w:hAnsi="Verdana"/>
          <w:color w:val="7F7F7F" w:themeColor="text1" w:themeTint="80"/>
          <w:sz w:val="18"/>
        </w:rPr>
      </w:pPr>
      <w:r>
        <w:rPr>
          <w:rFonts w:ascii="Verdana" w:hAnsi="Verdana"/>
          <w:noProof/>
          <w:color w:val="7F7F7F" w:themeColor="text1" w:themeTint="80"/>
          <w:sz w:val="18"/>
          <w:lang w:eastAsia="es-CL"/>
        </w:rPr>
        <w:drawing>
          <wp:inline distT="0" distB="0" distL="0" distR="0" wp14:anchorId="6A62000C" wp14:editId="4CA8B8EF">
            <wp:extent cx="6833870" cy="1111250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_ícono lluvias Tarapacá 20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ED2E3" w14:textId="77777777" w:rsidR="00F344F5" w:rsidRDefault="00F344F5" w:rsidP="00F344F5">
      <w:pPr>
        <w:spacing w:before="120" w:after="0" w:line="276" w:lineRule="auto"/>
        <w:rPr>
          <w:rFonts w:ascii="Verdana" w:hAnsi="Verdana"/>
          <w:color w:val="7F7F7F" w:themeColor="text1" w:themeTint="80"/>
          <w:sz w:val="18"/>
        </w:rPr>
      </w:pPr>
      <w:bookmarkStart w:id="0" w:name="_Hlk85094851"/>
      <w:r>
        <w:rPr>
          <w:rFonts w:ascii="Verdana" w:hAnsi="Verdana"/>
          <w:color w:val="7F7F7F" w:themeColor="text1" w:themeTint="80"/>
          <w:sz w:val="18"/>
        </w:rPr>
        <w:t xml:space="preserve">Avance al 28 de febrero de 2023. </w:t>
      </w:r>
    </w:p>
    <w:p w14:paraId="69179136" w14:textId="5A5D3EA2" w:rsidR="001336C6" w:rsidRDefault="00F344F5" w:rsidP="00F344F5">
      <w:pPr>
        <w:spacing w:after="200" w:line="276" w:lineRule="auto"/>
        <w:rPr>
          <w:rFonts w:ascii="Verdana" w:hAnsi="Verdana"/>
          <w:color w:val="7F7F7F" w:themeColor="text1" w:themeTint="80"/>
          <w:sz w:val="18"/>
        </w:rPr>
      </w:pPr>
      <w:r>
        <w:rPr>
          <w:rFonts w:ascii="Verdana" w:hAnsi="Verdana"/>
          <w:color w:val="7F7F7F" w:themeColor="text1" w:themeTint="80"/>
          <w:sz w:val="18"/>
        </w:rPr>
        <w:t>Información vigente entre el 13 de marzo y el 13 de abril de 2023</w:t>
      </w:r>
      <w:bookmarkEnd w:id="0"/>
      <w:r w:rsidR="001336C6">
        <w:rPr>
          <w:rFonts w:ascii="Verdana" w:hAnsi="Verdana"/>
          <w:color w:val="7F7F7F" w:themeColor="text1" w:themeTint="80"/>
          <w:sz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6"/>
        <w:gridCol w:w="2045"/>
        <w:gridCol w:w="7921"/>
      </w:tblGrid>
      <w:tr w:rsidR="0043581B" w:rsidRPr="006B2569" w14:paraId="6E67CCE0" w14:textId="77777777" w:rsidTr="00A34171">
        <w:trPr>
          <w:trHeight w:val="880"/>
        </w:trPr>
        <w:tc>
          <w:tcPr>
            <w:tcW w:w="72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0976B47" w14:textId="77777777" w:rsidR="0043581B" w:rsidRPr="00672D50" w:rsidRDefault="001024C6" w:rsidP="000139F6">
            <w:pPr>
              <w:spacing w:line="288" w:lineRule="auto"/>
              <w:rPr>
                <w:rFonts w:ascii="Verdana" w:hAnsi="Verdana"/>
                <w:noProof/>
                <w:color w:val="FF0000"/>
              </w:rPr>
            </w:pPr>
            <w:r w:rsidRPr="001024C6">
              <w:rPr>
                <w:rFonts w:ascii="Verdana" w:hAnsi="Verdana"/>
                <w:noProof/>
                <w:color w:val="FF0000"/>
                <w:lang w:eastAsia="es-CL"/>
              </w:rPr>
              <w:drawing>
                <wp:inline distT="0" distB="0" distL="0" distR="0" wp14:anchorId="7FCB7ADE" wp14:editId="3C3592E1">
                  <wp:extent cx="360000" cy="1959392"/>
                  <wp:effectExtent l="0" t="0" r="2540" b="3175"/>
                  <wp:docPr id="5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1959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FB6F23" w14:textId="77777777" w:rsidR="0043581B" w:rsidRPr="00672D50" w:rsidRDefault="001024C6" w:rsidP="000139F6">
            <w:pPr>
              <w:spacing w:line="288" w:lineRule="auto"/>
              <w:rPr>
                <w:rFonts w:ascii="Verdana" w:hAnsi="Verdana"/>
                <w:color w:val="FFFFFF" w:themeColor="background1"/>
                <w:lang w:val="es-ES"/>
              </w:rPr>
            </w:pPr>
            <w:r w:rsidRPr="001024C6">
              <w:rPr>
                <w:rFonts w:ascii="Verdana" w:hAnsi="Verdana"/>
                <w:noProof/>
                <w:color w:val="FFFFFF" w:themeColor="background1"/>
                <w:lang w:eastAsia="es-CL"/>
              </w:rPr>
              <w:drawing>
                <wp:inline distT="0" distB="0" distL="0" distR="0" wp14:anchorId="6E50A1DE" wp14:editId="265EC393">
                  <wp:extent cx="1113966" cy="1620000"/>
                  <wp:effectExtent l="0" t="0" r="0" b="0"/>
                  <wp:docPr id="12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966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77E384BA" w14:textId="77777777" w:rsidR="0043581B" w:rsidRPr="006B2569" w:rsidRDefault="00672D50" w:rsidP="00070104">
            <w:pPr>
              <w:spacing w:after="80" w:line="288" w:lineRule="auto"/>
              <w:jc w:val="both"/>
              <w:rPr>
                <w:rFonts w:ascii="Verdana" w:hAnsi="Verdana"/>
                <w:color w:val="404040" w:themeColor="text1" w:themeTint="BF"/>
                <w:sz w:val="18"/>
                <w:lang w:val="es-ES"/>
              </w:rPr>
            </w:pPr>
            <w:r w:rsidRPr="00226F10">
              <w:rPr>
                <w:rFonts w:ascii="Verdana" w:hAnsi="Verdana"/>
                <w:color w:val="595959" w:themeColor="text1" w:themeTint="A6"/>
                <w:sz w:val="18"/>
                <w:lang w:val="es-ES"/>
              </w:rPr>
              <w:t>Las regiones de</w:t>
            </w:r>
            <w:r w:rsidR="00777650">
              <w:rPr>
                <w:rFonts w:ascii="Verdana" w:hAnsi="Verdana"/>
                <w:color w:val="595959" w:themeColor="text1" w:themeTint="A6"/>
                <w:sz w:val="18"/>
                <w:lang w:val="es-ES"/>
              </w:rPr>
              <w:t>:</w:t>
            </w:r>
            <w:r w:rsidRPr="00226F10">
              <w:rPr>
                <w:rFonts w:ascii="Verdana" w:hAnsi="Verdana"/>
                <w:color w:val="595959" w:themeColor="text1" w:themeTint="A6"/>
                <w:sz w:val="18"/>
                <w:lang w:val="es-ES"/>
              </w:rPr>
              <w:t xml:space="preserve"> </w:t>
            </w:r>
            <w:r>
              <w:rPr>
                <w:rFonts w:ascii="Verdana" w:hAnsi="Verdana"/>
                <w:color w:val="595959" w:themeColor="text1" w:themeTint="A6"/>
                <w:sz w:val="18"/>
                <w:lang w:val="es-ES"/>
              </w:rPr>
              <w:t>Arica-Parinacota, Tarapacá y Antofagasta,</w:t>
            </w:r>
            <w:r w:rsidRPr="00226F10">
              <w:rPr>
                <w:rFonts w:ascii="Verdana" w:hAnsi="Verdana"/>
                <w:color w:val="595959" w:themeColor="text1" w:themeTint="A6"/>
                <w:sz w:val="18"/>
                <w:lang w:val="es-ES"/>
              </w:rPr>
              <w:t xml:space="preserve"> fueron afectadas por </w:t>
            </w:r>
            <w:r w:rsidR="00070104">
              <w:rPr>
                <w:rFonts w:ascii="Verdana" w:hAnsi="Verdana"/>
                <w:color w:val="595959" w:themeColor="text1" w:themeTint="A6"/>
                <w:sz w:val="18"/>
                <w:lang w:val="es-ES"/>
              </w:rPr>
              <w:t>precipitaciones estivales altiplánicas,</w:t>
            </w:r>
            <w:r w:rsidRPr="00226F10">
              <w:rPr>
                <w:rFonts w:ascii="Verdana" w:hAnsi="Verdana"/>
                <w:color w:val="595959" w:themeColor="text1" w:themeTint="A6"/>
                <w:sz w:val="18"/>
                <w:lang w:val="es-ES"/>
              </w:rPr>
              <w:t xml:space="preserve"> evento hidrometeorológico</w:t>
            </w:r>
            <w:r w:rsidR="00070104">
              <w:rPr>
                <w:rFonts w:ascii="Verdana" w:hAnsi="Verdana"/>
                <w:color w:val="595959" w:themeColor="text1" w:themeTint="A6"/>
                <w:sz w:val="18"/>
                <w:lang w:val="es-ES"/>
              </w:rPr>
              <w:t xml:space="preserve"> </w:t>
            </w:r>
            <w:r w:rsidR="00066747">
              <w:rPr>
                <w:rFonts w:ascii="Verdana" w:hAnsi="Verdana"/>
                <w:color w:val="595959" w:themeColor="text1" w:themeTint="A6"/>
                <w:sz w:val="18"/>
                <w:lang w:val="es-ES"/>
              </w:rPr>
              <w:t>que se exte</w:t>
            </w:r>
            <w:r w:rsidR="00872116">
              <w:rPr>
                <w:rFonts w:ascii="Verdana" w:hAnsi="Verdana"/>
                <w:color w:val="595959" w:themeColor="text1" w:themeTint="A6"/>
                <w:sz w:val="18"/>
                <w:lang w:val="es-ES"/>
              </w:rPr>
              <w:t xml:space="preserve">ndió </w:t>
            </w:r>
            <w:r w:rsidR="000566D7">
              <w:rPr>
                <w:rFonts w:ascii="Verdana" w:hAnsi="Verdana"/>
                <w:color w:val="595959" w:themeColor="text1" w:themeTint="A6"/>
                <w:sz w:val="18"/>
                <w:lang w:val="es-ES"/>
              </w:rPr>
              <w:t>desde finales de enero de 2019 hasta la tercera sem</w:t>
            </w:r>
            <w:r w:rsidR="00F976E7">
              <w:rPr>
                <w:rFonts w:ascii="Verdana" w:hAnsi="Verdana"/>
                <w:color w:val="595959" w:themeColor="text1" w:themeTint="A6"/>
                <w:sz w:val="18"/>
                <w:lang w:val="es-ES"/>
              </w:rPr>
              <w:t>ana de febrero, aproximadamente; d</w:t>
            </w:r>
            <w:r w:rsidR="00990C13">
              <w:rPr>
                <w:rFonts w:ascii="Verdana" w:hAnsi="Verdana"/>
                <w:color w:val="595959" w:themeColor="text1" w:themeTint="A6"/>
                <w:sz w:val="18"/>
                <w:lang w:val="es-ES"/>
              </w:rPr>
              <w:t>esbordes de río</w:t>
            </w:r>
            <w:r w:rsidR="00DE10B9">
              <w:rPr>
                <w:rFonts w:ascii="Verdana" w:hAnsi="Verdana"/>
                <w:color w:val="595959" w:themeColor="text1" w:themeTint="A6"/>
                <w:sz w:val="18"/>
                <w:lang w:val="es-ES"/>
              </w:rPr>
              <w:t>s y quebradas y remoción</w:t>
            </w:r>
            <w:r w:rsidR="00BC7BCA">
              <w:rPr>
                <w:rFonts w:ascii="Verdana" w:hAnsi="Verdana"/>
                <w:color w:val="595959" w:themeColor="text1" w:themeTint="A6"/>
                <w:sz w:val="18"/>
                <w:lang w:val="es-ES"/>
              </w:rPr>
              <w:t xml:space="preserve"> en masa generaron daños en infraes</w:t>
            </w:r>
            <w:r w:rsidR="000B567B">
              <w:rPr>
                <w:rFonts w:ascii="Verdana" w:hAnsi="Verdana"/>
                <w:color w:val="595959" w:themeColor="text1" w:themeTint="A6"/>
                <w:sz w:val="18"/>
                <w:lang w:val="es-ES"/>
              </w:rPr>
              <w:t xml:space="preserve">tructura pública y habitacional, la </w:t>
            </w:r>
            <w:r w:rsidR="00BC7BCA">
              <w:rPr>
                <w:rFonts w:ascii="Verdana" w:hAnsi="Verdana"/>
                <w:color w:val="595959" w:themeColor="text1" w:themeTint="A6"/>
                <w:sz w:val="18"/>
                <w:lang w:val="es-ES"/>
              </w:rPr>
              <w:t xml:space="preserve">pérdida de </w:t>
            </w:r>
            <w:r w:rsidR="000B567B">
              <w:rPr>
                <w:rFonts w:ascii="Verdana" w:hAnsi="Verdana"/>
                <w:color w:val="595959" w:themeColor="text1" w:themeTint="A6"/>
                <w:sz w:val="18"/>
                <w:lang w:val="es-ES"/>
              </w:rPr>
              <w:t>6</w:t>
            </w:r>
            <w:r w:rsidR="00BC7BCA">
              <w:rPr>
                <w:rFonts w:ascii="Verdana" w:hAnsi="Verdana"/>
                <w:color w:val="595959" w:themeColor="text1" w:themeTint="A6"/>
                <w:sz w:val="18"/>
                <w:lang w:val="es-ES"/>
              </w:rPr>
              <w:t xml:space="preserve"> vida</w:t>
            </w:r>
            <w:r w:rsidR="000B567B">
              <w:rPr>
                <w:rFonts w:ascii="Verdana" w:hAnsi="Verdana"/>
                <w:color w:val="595959" w:themeColor="text1" w:themeTint="A6"/>
                <w:sz w:val="18"/>
                <w:lang w:val="es-ES"/>
              </w:rPr>
              <w:t>s</w:t>
            </w:r>
            <w:r w:rsidRPr="00226F10">
              <w:rPr>
                <w:rFonts w:ascii="Verdana" w:hAnsi="Verdana"/>
                <w:color w:val="595959" w:themeColor="text1" w:themeTint="A6"/>
                <w:sz w:val="18"/>
                <w:lang w:val="es-ES"/>
              </w:rPr>
              <w:t xml:space="preserve"> </w:t>
            </w:r>
            <w:r w:rsidR="00BC7BCA">
              <w:rPr>
                <w:rFonts w:ascii="Verdana" w:hAnsi="Verdana"/>
                <w:color w:val="595959" w:themeColor="text1" w:themeTint="A6"/>
                <w:sz w:val="18"/>
                <w:lang w:val="es-ES"/>
              </w:rPr>
              <w:t>humana</w:t>
            </w:r>
            <w:r w:rsidR="000B567B">
              <w:rPr>
                <w:rFonts w:ascii="Verdana" w:hAnsi="Verdana"/>
                <w:color w:val="595959" w:themeColor="text1" w:themeTint="A6"/>
                <w:sz w:val="18"/>
                <w:lang w:val="es-ES"/>
              </w:rPr>
              <w:t>s</w:t>
            </w:r>
            <w:r w:rsidR="00492392">
              <w:rPr>
                <w:rFonts w:ascii="Verdana" w:hAnsi="Verdana"/>
                <w:color w:val="595959" w:themeColor="text1" w:themeTint="A6"/>
                <w:sz w:val="18"/>
                <w:lang w:val="es-ES"/>
              </w:rPr>
              <w:t xml:space="preserve"> y</w:t>
            </w:r>
            <w:r w:rsidR="00BC7BCA">
              <w:rPr>
                <w:rFonts w:ascii="Verdana" w:hAnsi="Verdana"/>
                <w:color w:val="595959" w:themeColor="text1" w:themeTint="A6"/>
                <w:sz w:val="18"/>
                <w:lang w:val="es-ES"/>
              </w:rPr>
              <w:t xml:space="preserve"> </w:t>
            </w:r>
            <w:r w:rsidR="000B567B">
              <w:rPr>
                <w:rFonts w:ascii="Verdana" w:hAnsi="Verdana"/>
                <w:color w:val="595959" w:themeColor="text1" w:themeTint="A6"/>
                <w:sz w:val="18"/>
                <w:lang w:val="es-ES"/>
              </w:rPr>
              <w:t>daños en más de 6.000 viviendas</w:t>
            </w:r>
            <w:r w:rsidR="00492392">
              <w:rPr>
                <w:rFonts w:ascii="Verdana" w:hAnsi="Verdana"/>
                <w:color w:val="595959" w:themeColor="text1" w:themeTint="A6"/>
                <w:sz w:val="18"/>
                <w:lang w:val="es-ES"/>
              </w:rPr>
              <w:t>.</w:t>
            </w:r>
          </w:p>
        </w:tc>
      </w:tr>
      <w:tr w:rsidR="0043581B" w:rsidRPr="006B2569" w14:paraId="04D2317F" w14:textId="77777777" w:rsidTr="00A34171">
        <w:trPr>
          <w:trHeight w:val="880"/>
        </w:trPr>
        <w:tc>
          <w:tcPr>
            <w:tcW w:w="726" w:type="dxa"/>
            <w:vMerge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1F2BB094" w14:textId="77777777" w:rsidR="0043581B" w:rsidRPr="006B2569" w:rsidRDefault="0043581B" w:rsidP="000139F6">
            <w:pPr>
              <w:spacing w:line="288" w:lineRule="auto"/>
              <w:rPr>
                <w:rFonts w:ascii="Verdana" w:hAnsi="Verdana"/>
                <w:noProof/>
              </w:rPr>
            </w:pPr>
          </w:p>
        </w:tc>
        <w:tc>
          <w:tcPr>
            <w:tcW w:w="2046" w:type="dxa"/>
            <w:vMerge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6A21D356" w14:textId="77777777" w:rsidR="0043581B" w:rsidRPr="006B2569" w:rsidRDefault="0043581B" w:rsidP="000139F6">
            <w:pPr>
              <w:spacing w:line="288" w:lineRule="auto"/>
              <w:rPr>
                <w:rFonts w:ascii="Verdana" w:hAnsi="Verdana"/>
                <w:noProof/>
              </w:rPr>
            </w:pPr>
          </w:p>
        </w:tc>
        <w:tc>
          <w:tcPr>
            <w:tcW w:w="8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2EB58593" w14:textId="77777777" w:rsidR="0043581B" w:rsidRPr="00B544EF" w:rsidRDefault="00BF2F85" w:rsidP="001024C6">
            <w:pPr>
              <w:spacing w:after="80" w:line="288" w:lineRule="auto"/>
              <w:jc w:val="both"/>
              <w:rPr>
                <w:rFonts w:ascii="Verdana" w:hAnsi="Verdana"/>
                <w:b/>
                <w:color w:val="404040" w:themeColor="text1" w:themeTint="BF"/>
                <w:sz w:val="18"/>
                <w:lang w:val="es-ES"/>
              </w:rPr>
            </w:pPr>
            <w:r w:rsidRPr="006B2569">
              <w:rPr>
                <w:rFonts w:ascii="Verdana" w:hAnsi="Verdana"/>
                <w:b/>
                <w:color w:val="2E74B5" w:themeColor="accent5" w:themeShade="BF"/>
                <w:sz w:val="18"/>
                <w:lang w:val="es-ES"/>
              </w:rPr>
              <w:t xml:space="preserve">La reconstrucción en </w:t>
            </w:r>
            <w:r w:rsidR="00492392">
              <w:rPr>
                <w:rFonts w:ascii="Verdana" w:hAnsi="Verdana"/>
                <w:b/>
                <w:color w:val="2E74B5" w:themeColor="accent5" w:themeShade="BF"/>
                <w:sz w:val="18"/>
                <w:lang w:val="es-ES"/>
              </w:rPr>
              <w:t xml:space="preserve">la región de </w:t>
            </w:r>
            <w:r w:rsidR="001024C6">
              <w:rPr>
                <w:rFonts w:ascii="Verdana" w:hAnsi="Verdana"/>
                <w:b/>
                <w:color w:val="2E74B5" w:themeColor="accent5" w:themeShade="BF"/>
                <w:sz w:val="18"/>
                <w:lang w:val="es-ES"/>
              </w:rPr>
              <w:t>Tarapacá</w:t>
            </w:r>
            <w:r w:rsidRPr="006B2569">
              <w:rPr>
                <w:rFonts w:ascii="Verdana" w:hAnsi="Verdana"/>
                <w:b/>
                <w:color w:val="2E74B5" w:themeColor="accent5" w:themeShade="BF"/>
                <w:sz w:val="18"/>
                <w:lang w:val="es-ES"/>
              </w:rPr>
              <w:t xml:space="preserve"> </w:t>
            </w:r>
            <w:r w:rsidR="00065D47" w:rsidRPr="00AB3957">
              <w:rPr>
                <w:rFonts w:ascii="Verdana" w:hAnsi="Verdana"/>
                <w:color w:val="595959" w:themeColor="text1" w:themeTint="A6"/>
                <w:sz w:val="18"/>
                <w:lang w:val="es-ES"/>
              </w:rPr>
              <w:t>tiene por objetivo recuperar la habitabilidad de las familias afectadas</w:t>
            </w:r>
            <w:r w:rsidR="00B544EF">
              <w:rPr>
                <w:rFonts w:ascii="Verdana" w:hAnsi="Verdana"/>
                <w:color w:val="595959" w:themeColor="text1" w:themeTint="A6"/>
                <w:sz w:val="18"/>
                <w:lang w:val="es-ES"/>
              </w:rPr>
              <w:t xml:space="preserve"> en todas las comunas de la región: </w:t>
            </w:r>
            <w:r w:rsidR="00B544EF">
              <w:rPr>
                <w:rFonts w:ascii="Verdana" w:hAnsi="Verdana"/>
                <w:b/>
                <w:color w:val="595959" w:themeColor="text1" w:themeTint="A6"/>
                <w:sz w:val="18"/>
                <w:lang w:val="es-ES"/>
              </w:rPr>
              <w:t xml:space="preserve">Alto Hospicio, Camiña, </w:t>
            </w:r>
            <w:proofErr w:type="spellStart"/>
            <w:r w:rsidR="00B544EF">
              <w:rPr>
                <w:rFonts w:ascii="Verdana" w:hAnsi="Verdana"/>
                <w:b/>
                <w:color w:val="595959" w:themeColor="text1" w:themeTint="A6"/>
                <w:sz w:val="18"/>
                <w:lang w:val="es-ES"/>
              </w:rPr>
              <w:t>Colchane</w:t>
            </w:r>
            <w:proofErr w:type="spellEnd"/>
            <w:r w:rsidR="00B544EF">
              <w:rPr>
                <w:rFonts w:ascii="Verdana" w:hAnsi="Verdana"/>
                <w:b/>
                <w:color w:val="595959" w:themeColor="text1" w:themeTint="A6"/>
                <w:sz w:val="18"/>
                <w:lang w:val="es-ES"/>
              </w:rPr>
              <w:t>, Huara, Iquique, Pica y Pozo Almonte.</w:t>
            </w:r>
          </w:p>
        </w:tc>
      </w:tr>
    </w:tbl>
    <w:p w14:paraId="0EC1877E" w14:textId="77777777" w:rsidR="00081723" w:rsidRPr="006B2569" w:rsidRDefault="00081723">
      <w:pPr>
        <w:rPr>
          <w:rFonts w:ascii="Verdana" w:hAnsi="Verdana"/>
          <w:color w:val="595959" w:themeColor="text1" w:themeTint="A6"/>
          <w:sz w:val="6"/>
          <w:lang w:val="es-ES"/>
        </w:rPr>
      </w:pPr>
    </w:p>
    <w:p w14:paraId="3177A2A6" w14:textId="77777777" w:rsidR="000749EF" w:rsidRPr="006B2569" w:rsidRDefault="000749EF" w:rsidP="002437A3">
      <w:pPr>
        <w:spacing w:after="100" w:line="276" w:lineRule="auto"/>
        <w:jc w:val="both"/>
        <w:rPr>
          <w:rFonts w:ascii="Verdana" w:hAnsi="Verdana"/>
          <w:color w:val="595959" w:themeColor="text1" w:themeTint="A6"/>
          <w:sz w:val="18"/>
          <w:lang w:val="es-ES"/>
        </w:rPr>
      </w:pPr>
      <w:r w:rsidRPr="006B2569">
        <w:rPr>
          <w:rFonts w:ascii="Verdana" w:hAnsi="Verdana"/>
          <w:noProof/>
          <w:lang w:eastAsia="es-CL"/>
        </w:rPr>
        <w:drawing>
          <wp:inline distT="0" distB="0" distL="0" distR="0" wp14:anchorId="1C81B70C" wp14:editId="3757F644">
            <wp:extent cx="6804454" cy="787884"/>
            <wp:effectExtent l="0" t="0" r="0" b="0"/>
            <wp:docPr id="4" name="Gráfic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862" cy="79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784C8" w14:textId="47D4C59B" w:rsidR="005F2CD4" w:rsidRPr="004C753F" w:rsidRDefault="00BF2F85" w:rsidP="00081723">
      <w:pPr>
        <w:spacing w:before="160" w:after="240" w:line="288" w:lineRule="auto"/>
        <w:jc w:val="both"/>
        <w:rPr>
          <w:rFonts w:ascii="Verdana" w:hAnsi="Verdana"/>
          <w:color w:val="404040" w:themeColor="text1" w:themeTint="BF"/>
          <w:sz w:val="18"/>
          <w:lang w:val="es-ES"/>
        </w:rPr>
      </w:pPr>
      <w:r w:rsidRPr="00EF00F2">
        <w:rPr>
          <w:rFonts w:ascii="Verdana" w:hAnsi="Verdana"/>
          <w:color w:val="404040" w:themeColor="text1" w:themeTint="BF"/>
          <w:sz w:val="18"/>
          <w:lang w:val="es-ES"/>
        </w:rPr>
        <w:t>El plan contempla</w:t>
      </w:r>
      <w:r w:rsidR="005F2CD4" w:rsidRPr="00EF00F2">
        <w:rPr>
          <w:rFonts w:ascii="Verdana" w:hAnsi="Verdana"/>
          <w:color w:val="404040" w:themeColor="text1" w:themeTint="BF"/>
          <w:sz w:val="18"/>
          <w:lang w:val="es-ES"/>
        </w:rPr>
        <w:t xml:space="preserve"> </w:t>
      </w:r>
      <w:r w:rsidR="00A3782B" w:rsidRPr="00EF00F2">
        <w:rPr>
          <w:rFonts w:ascii="Verdana" w:hAnsi="Verdana"/>
          <w:color w:val="404040" w:themeColor="text1" w:themeTint="BF"/>
          <w:sz w:val="18"/>
          <w:lang w:val="es-ES"/>
        </w:rPr>
        <w:t xml:space="preserve">la </w:t>
      </w:r>
      <w:r w:rsidR="00A3782B" w:rsidRPr="004C753F">
        <w:rPr>
          <w:rFonts w:ascii="Verdana" w:hAnsi="Verdana"/>
          <w:color w:val="404040" w:themeColor="text1" w:themeTint="BF"/>
          <w:sz w:val="18"/>
          <w:lang w:val="es-ES"/>
        </w:rPr>
        <w:t xml:space="preserve">atención de </w:t>
      </w:r>
      <w:r w:rsidR="00DD1FAA" w:rsidRPr="004C753F">
        <w:rPr>
          <w:rFonts w:ascii="Verdana" w:hAnsi="Verdana"/>
          <w:color w:val="404040" w:themeColor="text1" w:themeTint="BF"/>
          <w:sz w:val="18"/>
          <w:lang w:val="es-ES"/>
        </w:rPr>
        <w:t>77</w:t>
      </w:r>
      <w:r w:rsidR="00FC0797">
        <w:rPr>
          <w:rFonts w:ascii="Verdana" w:hAnsi="Verdana"/>
          <w:color w:val="404040" w:themeColor="text1" w:themeTint="BF"/>
          <w:sz w:val="18"/>
          <w:lang w:val="es-ES"/>
        </w:rPr>
        <w:t>2</w:t>
      </w:r>
      <w:r w:rsidR="00DD1FAA" w:rsidRPr="004C753F">
        <w:rPr>
          <w:rFonts w:ascii="Verdana" w:hAnsi="Verdana"/>
          <w:color w:val="404040" w:themeColor="text1" w:themeTint="BF"/>
          <w:sz w:val="18"/>
          <w:lang w:val="es-ES"/>
        </w:rPr>
        <w:t xml:space="preserve"> </w:t>
      </w:r>
      <w:r w:rsidR="00A3782B" w:rsidRPr="004C753F">
        <w:rPr>
          <w:rFonts w:ascii="Verdana" w:hAnsi="Verdana"/>
          <w:color w:val="404040" w:themeColor="text1" w:themeTint="BF"/>
          <w:sz w:val="18"/>
          <w:lang w:val="es-ES"/>
        </w:rPr>
        <w:t>familias</w:t>
      </w:r>
      <w:r w:rsidR="003E383C" w:rsidRPr="004C753F">
        <w:rPr>
          <w:rFonts w:ascii="Verdana" w:hAnsi="Verdana"/>
          <w:color w:val="404040" w:themeColor="text1" w:themeTint="BF"/>
          <w:sz w:val="18"/>
          <w:lang w:val="es-ES"/>
        </w:rPr>
        <w:t xml:space="preserve">, </w:t>
      </w:r>
      <w:r w:rsidR="005F2CD4" w:rsidRPr="004C753F">
        <w:rPr>
          <w:rFonts w:ascii="Verdana" w:hAnsi="Verdana"/>
          <w:color w:val="404040" w:themeColor="text1" w:themeTint="BF"/>
          <w:sz w:val="18"/>
          <w:lang w:val="es-ES"/>
        </w:rPr>
        <w:t>a través de l</w:t>
      </w:r>
      <w:r w:rsidRPr="004C753F">
        <w:rPr>
          <w:rFonts w:ascii="Verdana" w:hAnsi="Verdana"/>
          <w:color w:val="404040" w:themeColor="text1" w:themeTint="BF"/>
          <w:sz w:val="18"/>
          <w:lang w:val="es-ES"/>
        </w:rPr>
        <w:t xml:space="preserve">as modalidades de </w:t>
      </w:r>
      <w:r w:rsidR="00A3782B" w:rsidRPr="004C753F">
        <w:rPr>
          <w:rFonts w:ascii="Verdana" w:hAnsi="Verdana"/>
          <w:color w:val="404040" w:themeColor="text1" w:themeTint="BF"/>
          <w:sz w:val="18"/>
          <w:lang w:val="es-ES"/>
        </w:rPr>
        <w:t>banco de materiales</w:t>
      </w:r>
      <w:r w:rsidR="00AA7DDF" w:rsidRPr="004C753F">
        <w:rPr>
          <w:rFonts w:ascii="Verdana" w:hAnsi="Verdana"/>
          <w:color w:val="404040" w:themeColor="text1" w:themeTint="BF"/>
          <w:sz w:val="18"/>
          <w:lang w:val="es-ES"/>
        </w:rPr>
        <w:t xml:space="preserve"> y</w:t>
      </w:r>
      <w:r w:rsidR="00A3782B" w:rsidRPr="004C753F">
        <w:rPr>
          <w:rFonts w:ascii="Verdana" w:hAnsi="Verdana"/>
          <w:color w:val="404040" w:themeColor="text1" w:themeTint="BF"/>
          <w:sz w:val="18"/>
          <w:lang w:val="es-ES"/>
        </w:rPr>
        <w:t xml:space="preserve"> reparación</w:t>
      </w:r>
      <w:r w:rsidR="005F2CD4" w:rsidRPr="004C753F">
        <w:rPr>
          <w:rFonts w:ascii="Verdana" w:hAnsi="Verdana"/>
          <w:color w:val="404040" w:themeColor="text1" w:themeTint="BF"/>
          <w:sz w:val="18"/>
          <w:lang w:val="es-ES"/>
        </w:rPr>
        <w:t>.</w:t>
      </w:r>
      <w:r w:rsidR="00213DED" w:rsidRPr="004C753F">
        <w:rPr>
          <w:rFonts w:ascii="Verdana" w:hAnsi="Verdana"/>
          <w:color w:val="404040" w:themeColor="text1" w:themeTint="BF"/>
          <w:sz w:val="18"/>
          <w:lang w:val="es-ES"/>
        </w:rPr>
        <w:t xml:space="preserve"> A la fecha, hay </w:t>
      </w:r>
      <w:r w:rsidR="007B3000" w:rsidRPr="004C753F">
        <w:rPr>
          <w:rFonts w:ascii="Verdana" w:hAnsi="Verdana"/>
          <w:color w:val="404040" w:themeColor="text1" w:themeTint="BF"/>
          <w:sz w:val="18"/>
          <w:lang w:val="es-ES"/>
        </w:rPr>
        <w:t>7</w:t>
      </w:r>
      <w:r w:rsidR="00085BB5">
        <w:rPr>
          <w:rFonts w:ascii="Verdana" w:hAnsi="Verdana"/>
          <w:color w:val="404040" w:themeColor="text1" w:themeTint="BF"/>
          <w:sz w:val="18"/>
          <w:lang w:val="es-ES"/>
        </w:rPr>
        <w:t>7</w:t>
      </w:r>
      <w:r w:rsidR="00261E06">
        <w:rPr>
          <w:rFonts w:ascii="Verdana" w:hAnsi="Verdana"/>
          <w:color w:val="404040" w:themeColor="text1" w:themeTint="BF"/>
          <w:sz w:val="18"/>
          <w:lang w:val="es-ES"/>
        </w:rPr>
        <w:t>2</w:t>
      </w:r>
      <w:r w:rsidR="00213DED" w:rsidRPr="004C753F">
        <w:rPr>
          <w:rFonts w:ascii="Verdana" w:hAnsi="Verdana"/>
          <w:color w:val="404040" w:themeColor="text1" w:themeTint="BF"/>
          <w:sz w:val="18"/>
          <w:lang w:val="es-ES"/>
        </w:rPr>
        <w:t xml:space="preserve"> subsidios </w:t>
      </w:r>
      <w:r w:rsidR="006F0575" w:rsidRPr="004C753F">
        <w:rPr>
          <w:rFonts w:ascii="Verdana" w:hAnsi="Verdana"/>
          <w:color w:val="404040" w:themeColor="text1" w:themeTint="BF"/>
          <w:sz w:val="18"/>
          <w:lang w:val="es-ES"/>
        </w:rPr>
        <w:t>asignado</w:t>
      </w:r>
      <w:r w:rsidR="00213DED" w:rsidRPr="004C753F">
        <w:rPr>
          <w:rFonts w:ascii="Verdana" w:hAnsi="Verdana"/>
          <w:color w:val="404040" w:themeColor="text1" w:themeTint="BF"/>
          <w:sz w:val="18"/>
          <w:lang w:val="es-ES"/>
        </w:rPr>
        <w:t>s</w:t>
      </w:r>
      <w:r w:rsidR="00AA7DDF" w:rsidRPr="004C753F">
        <w:rPr>
          <w:rFonts w:ascii="Verdana" w:hAnsi="Verdana"/>
          <w:color w:val="404040" w:themeColor="text1" w:themeTint="BF"/>
          <w:sz w:val="18"/>
          <w:lang w:val="es-ES"/>
        </w:rPr>
        <w:t xml:space="preserve"> (</w:t>
      </w:r>
      <w:r w:rsidR="00FC0797">
        <w:rPr>
          <w:rFonts w:ascii="Verdana" w:hAnsi="Verdana"/>
          <w:color w:val="404040" w:themeColor="text1" w:themeTint="BF"/>
          <w:sz w:val="18"/>
          <w:lang w:val="es-ES"/>
        </w:rPr>
        <w:t>100</w:t>
      </w:r>
      <w:r w:rsidR="00AA7DDF" w:rsidRPr="004C753F">
        <w:rPr>
          <w:rFonts w:ascii="Verdana" w:hAnsi="Verdana"/>
          <w:color w:val="404040" w:themeColor="text1" w:themeTint="BF"/>
          <w:sz w:val="18"/>
          <w:lang w:val="es-ES"/>
        </w:rPr>
        <w:t>%)</w:t>
      </w:r>
      <w:r w:rsidR="00213DED" w:rsidRPr="004C753F">
        <w:rPr>
          <w:rFonts w:ascii="Verdana" w:hAnsi="Verdana"/>
          <w:color w:val="404040" w:themeColor="text1" w:themeTint="BF"/>
          <w:sz w:val="18"/>
          <w:lang w:val="es-ES"/>
        </w:rPr>
        <w:t>.</w:t>
      </w:r>
    </w:p>
    <w:tbl>
      <w:tblPr>
        <w:tblStyle w:val="Tablaconcuadrcula"/>
        <w:tblW w:w="10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9411"/>
      </w:tblGrid>
      <w:tr w:rsidR="0064357C" w:rsidRPr="004C753F" w14:paraId="2092CEC2" w14:textId="77777777" w:rsidTr="00CA22C3">
        <w:trPr>
          <w:trHeight w:val="975"/>
        </w:trPr>
        <w:tc>
          <w:tcPr>
            <w:tcW w:w="1417" w:type="dxa"/>
          </w:tcPr>
          <w:p w14:paraId="169DDBA1" w14:textId="77777777" w:rsidR="0064357C" w:rsidRPr="004C753F" w:rsidRDefault="00213DED" w:rsidP="0064357C">
            <w:pPr>
              <w:spacing w:after="80" w:line="288" w:lineRule="auto"/>
              <w:jc w:val="center"/>
              <w:rPr>
                <w:rFonts w:ascii="Verdana" w:hAnsi="Verdana"/>
                <w:sz w:val="18"/>
                <w:szCs w:val="18"/>
                <w:lang w:val="es-ES"/>
              </w:rPr>
            </w:pPr>
            <w:r w:rsidRPr="004C753F">
              <w:rPr>
                <w:rFonts w:ascii="Verdana" w:hAnsi="Verdana"/>
                <w:noProof/>
                <w:lang w:eastAsia="es-CL"/>
              </w:rPr>
              <w:drawing>
                <wp:inline distT="0" distB="0" distL="0" distR="0" wp14:anchorId="448F5D4E" wp14:editId="4AFB4191">
                  <wp:extent cx="561600" cy="561600"/>
                  <wp:effectExtent l="0" t="0" r="0" b="0"/>
                  <wp:docPr id="11" name="Gráfico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00" cy="56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1" w:type="dxa"/>
          </w:tcPr>
          <w:p w14:paraId="40FF6357" w14:textId="757B3A42" w:rsidR="0064357C" w:rsidRPr="004C753F" w:rsidRDefault="00213DED" w:rsidP="000471C2">
            <w:pPr>
              <w:spacing w:after="80" w:line="288" w:lineRule="auto"/>
              <w:jc w:val="both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 w:rsidRPr="004C753F">
              <w:rPr>
                <w:rFonts w:ascii="Verdana" w:hAnsi="Verdana"/>
                <w:b/>
                <w:color w:val="2E74B5" w:themeColor="accent5" w:themeShade="BF"/>
                <w:sz w:val="18"/>
                <w:lang w:val="es-ES"/>
              </w:rPr>
              <w:t xml:space="preserve">Soluciones </w:t>
            </w:r>
            <w:r w:rsidRPr="004C753F">
              <w:rPr>
                <w:rFonts w:ascii="Verdana" w:hAnsi="Verdana"/>
                <w:b/>
                <w:color w:val="2E74B5" w:themeColor="accent5" w:themeShade="BF"/>
                <w:sz w:val="18"/>
              </w:rPr>
              <w:t>de banco de materiales</w:t>
            </w:r>
            <w:r w:rsidRPr="004C753F">
              <w:rPr>
                <w:rFonts w:ascii="Verdana" w:hAnsi="Verdana"/>
                <w:b/>
                <w:color w:val="44546A" w:themeColor="text2"/>
                <w:sz w:val="18"/>
              </w:rPr>
              <w:t xml:space="preserve"> </w:t>
            </w:r>
            <w:r w:rsidRPr="004C753F">
              <w:rPr>
                <w:rFonts w:ascii="Verdana" w:hAnsi="Verdana"/>
                <w:color w:val="595959" w:themeColor="text1" w:themeTint="A6"/>
                <w:sz w:val="18"/>
              </w:rPr>
              <w:t>corresponden a la entrega de un subsidio para viviendas con daño leve; se utiliza mediante una tarjeta para la compra de materiales que, sumado al trabajo de las familias, permite concretar la reparación de sus viviendas. A la fecha,</w:t>
            </w:r>
            <w:r w:rsidR="00AA7DDF" w:rsidRPr="004C753F">
              <w:rPr>
                <w:rFonts w:ascii="Verdana" w:hAnsi="Verdana"/>
                <w:color w:val="595959" w:themeColor="text1" w:themeTint="A6"/>
                <w:sz w:val="18"/>
              </w:rPr>
              <w:t xml:space="preserve"> del universo de </w:t>
            </w:r>
            <w:r w:rsidR="009A53E3">
              <w:rPr>
                <w:rFonts w:ascii="Verdana" w:hAnsi="Verdana"/>
                <w:color w:val="595959" w:themeColor="text1" w:themeTint="A6"/>
                <w:sz w:val="18"/>
              </w:rPr>
              <w:t>5</w:t>
            </w:r>
            <w:r w:rsidR="00387276">
              <w:rPr>
                <w:rFonts w:ascii="Verdana" w:hAnsi="Verdana"/>
                <w:color w:val="595959" w:themeColor="text1" w:themeTint="A6"/>
                <w:sz w:val="18"/>
              </w:rPr>
              <w:t>59</w:t>
            </w:r>
            <w:r w:rsidR="009A53E3" w:rsidRPr="004C753F">
              <w:rPr>
                <w:rFonts w:ascii="Verdana" w:hAnsi="Verdana"/>
                <w:color w:val="595959" w:themeColor="text1" w:themeTint="A6"/>
                <w:sz w:val="18"/>
              </w:rPr>
              <w:t xml:space="preserve"> </w:t>
            </w:r>
            <w:r w:rsidR="00AA7DDF" w:rsidRPr="004C753F">
              <w:rPr>
                <w:rFonts w:ascii="Verdana" w:hAnsi="Verdana"/>
                <w:color w:val="595959" w:themeColor="text1" w:themeTint="A6"/>
                <w:sz w:val="18"/>
              </w:rPr>
              <w:t xml:space="preserve">familias a atender, </w:t>
            </w:r>
            <w:r w:rsidR="00FC0797">
              <w:rPr>
                <w:rFonts w:ascii="Verdana" w:hAnsi="Verdana"/>
                <w:color w:val="595959" w:themeColor="text1" w:themeTint="A6"/>
                <w:sz w:val="18"/>
              </w:rPr>
              <w:t>todas</w:t>
            </w:r>
            <w:r w:rsidR="00AA7DDF" w:rsidRPr="004C753F">
              <w:rPr>
                <w:rFonts w:ascii="Verdana" w:hAnsi="Verdana"/>
                <w:color w:val="595959" w:themeColor="text1" w:themeTint="A6"/>
                <w:sz w:val="18"/>
              </w:rPr>
              <w:t xml:space="preserve"> tienen su t</w:t>
            </w:r>
            <w:r w:rsidRPr="004C753F">
              <w:rPr>
                <w:rFonts w:ascii="Verdana" w:hAnsi="Verdana"/>
                <w:color w:val="595959" w:themeColor="text1" w:themeTint="A6"/>
                <w:sz w:val="18"/>
              </w:rPr>
              <w:t xml:space="preserve">arjeta de banco de materiales </w:t>
            </w:r>
            <w:r w:rsidR="004C7095" w:rsidRPr="004C753F">
              <w:rPr>
                <w:rFonts w:ascii="Verdana" w:hAnsi="Verdana"/>
                <w:color w:val="595959" w:themeColor="text1" w:themeTint="A6"/>
                <w:sz w:val="18"/>
              </w:rPr>
              <w:t>asignada</w:t>
            </w:r>
            <w:r w:rsidR="00647531">
              <w:rPr>
                <w:rFonts w:ascii="Verdana" w:hAnsi="Verdana"/>
                <w:color w:val="595959" w:themeColor="text1" w:themeTint="A6"/>
                <w:sz w:val="18"/>
              </w:rPr>
              <w:t xml:space="preserve">, </w:t>
            </w:r>
            <w:r w:rsidR="0039192F">
              <w:rPr>
                <w:rFonts w:ascii="Verdana" w:hAnsi="Verdana"/>
                <w:color w:val="595959" w:themeColor="text1" w:themeTint="A6"/>
                <w:sz w:val="18"/>
              </w:rPr>
              <w:t>41</w:t>
            </w:r>
            <w:r w:rsidR="00647531">
              <w:rPr>
                <w:rFonts w:ascii="Verdana" w:hAnsi="Verdana"/>
                <w:color w:val="595959" w:themeColor="text1" w:themeTint="A6"/>
                <w:sz w:val="18"/>
              </w:rPr>
              <w:t xml:space="preserve"> perdieron vigencia o fueron renunciadas y 5</w:t>
            </w:r>
            <w:r w:rsidR="0039192F">
              <w:rPr>
                <w:rFonts w:ascii="Verdana" w:hAnsi="Verdana"/>
                <w:color w:val="595959" w:themeColor="text1" w:themeTint="A6"/>
                <w:sz w:val="18"/>
              </w:rPr>
              <w:t>18</w:t>
            </w:r>
            <w:r w:rsidR="00647531">
              <w:rPr>
                <w:rFonts w:ascii="Verdana" w:hAnsi="Verdana"/>
                <w:color w:val="595959" w:themeColor="text1" w:themeTint="A6"/>
                <w:sz w:val="18"/>
              </w:rPr>
              <w:t xml:space="preserve"> se encuentran</w:t>
            </w:r>
            <w:r w:rsidR="004C7095" w:rsidRPr="004C753F">
              <w:rPr>
                <w:rFonts w:ascii="Verdana" w:hAnsi="Verdana"/>
                <w:color w:val="595959" w:themeColor="text1" w:themeTint="A6"/>
                <w:sz w:val="18"/>
              </w:rPr>
              <w:t xml:space="preserve"> vigente</w:t>
            </w:r>
            <w:r w:rsidR="00647531">
              <w:rPr>
                <w:rFonts w:ascii="Verdana" w:hAnsi="Verdana"/>
                <w:color w:val="595959" w:themeColor="text1" w:themeTint="A6"/>
                <w:sz w:val="18"/>
              </w:rPr>
              <w:t>s</w:t>
            </w:r>
            <w:r w:rsidR="004C7095" w:rsidRPr="004C753F">
              <w:rPr>
                <w:rFonts w:ascii="Verdana" w:hAnsi="Verdana"/>
                <w:color w:val="595959" w:themeColor="text1" w:themeTint="A6"/>
                <w:sz w:val="18"/>
              </w:rPr>
              <w:t xml:space="preserve"> (</w:t>
            </w:r>
            <w:r w:rsidR="00FC0797">
              <w:rPr>
                <w:rFonts w:ascii="Verdana" w:hAnsi="Verdana"/>
                <w:color w:val="595959" w:themeColor="text1" w:themeTint="A6"/>
                <w:sz w:val="18"/>
              </w:rPr>
              <w:t>100</w:t>
            </w:r>
            <w:r w:rsidR="004C7095" w:rsidRPr="004C753F">
              <w:rPr>
                <w:rFonts w:ascii="Verdana" w:hAnsi="Verdana"/>
                <w:color w:val="595959" w:themeColor="text1" w:themeTint="A6"/>
                <w:sz w:val="18"/>
              </w:rPr>
              <w:t>%)</w:t>
            </w:r>
            <w:r w:rsidR="00647531">
              <w:rPr>
                <w:rFonts w:ascii="Verdana" w:hAnsi="Verdana"/>
                <w:color w:val="595959" w:themeColor="text1" w:themeTint="A6"/>
                <w:sz w:val="18"/>
              </w:rPr>
              <w:t xml:space="preserve">. De estas, </w:t>
            </w:r>
            <w:r w:rsidR="0028793D">
              <w:rPr>
                <w:rFonts w:ascii="Verdana" w:hAnsi="Verdana"/>
                <w:color w:val="595959" w:themeColor="text1" w:themeTint="A6"/>
                <w:sz w:val="18"/>
              </w:rPr>
              <w:t>todas</w:t>
            </w:r>
            <w:r w:rsidRPr="004C753F">
              <w:rPr>
                <w:rFonts w:ascii="Verdana" w:hAnsi="Verdana"/>
                <w:color w:val="595959" w:themeColor="text1" w:themeTint="A6"/>
                <w:sz w:val="18"/>
              </w:rPr>
              <w:t xml:space="preserve"> h</w:t>
            </w:r>
            <w:r w:rsidR="00437182" w:rsidRPr="004C753F">
              <w:rPr>
                <w:rFonts w:ascii="Verdana" w:hAnsi="Verdana"/>
                <w:color w:val="595959" w:themeColor="text1" w:themeTint="A6"/>
                <w:sz w:val="18"/>
              </w:rPr>
              <w:t xml:space="preserve">an terminado sus obras </w:t>
            </w:r>
            <w:r w:rsidR="0039192F">
              <w:rPr>
                <w:rFonts w:ascii="Verdana" w:hAnsi="Verdana"/>
                <w:color w:val="595959" w:themeColor="text1" w:themeTint="A6"/>
                <w:sz w:val="18"/>
              </w:rPr>
              <w:t>y</w:t>
            </w:r>
            <w:r w:rsidR="0059003D">
              <w:rPr>
                <w:rFonts w:ascii="Verdana" w:hAnsi="Verdana"/>
                <w:color w:val="595959" w:themeColor="text1" w:themeTint="A6"/>
                <w:sz w:val="18"/>
              </w:rPr>
              <w:t xml:space="preserve"> </w:t>
            </w:r>
            <w:r w:rsidR="00496797">
              <w:rPr>
                <w:rFonts w:ascii="Verdana" w:hAnsi="Verdana"/>
                <w:color w:val="595959" w:themeColor="text1" w:themeTint="A6"/>
                <w:sz w:val="18"/>
              </w:rPr>
              <w:t>5</w:t>
            </w:r>
            <w:r w:rsidR="00647531">
              <w:rPr>
                <w:rFonts w:ascii="Verdana" w:hAnsi="Verdana"/>
                <w:color w:val="595959" w:themeColor="text1" w:themeTint="A6"/>
                <w:sz w:val="18"/>
              </w:rPr>
              <w:t xml:space="preserve"> </w:t>
            </w:r>
            <w:r w:rsidR="00CA22C3" w:rsidRPr="004C753F">
              <w:rPr>
                <w:rFonts w:ascii="Verdana" w:hAnsi="Verdana"/>
                <w:color w:val="595959" w:themeColor="text1" w:themeTint="A6"/>
                <w:sz w:val="18"/>
              </w:rPr>
              <w:t>están en ejecución</w:t>
            </w:r>
            <w:r w:rsidR="0028793D">
              <w:rPr>
                <w:rFonts w:ascii="Verdana" w:hAnsi="Verdana"/>
                <w:color w:val="595959" w:themeColor="text1" w:themeTint="A6"/>
                <w:sz w:val="18"/>
              </w:rPr>
              <w:t xml:space="preserve"> (0,7%)</w:t>
            </w:r>
            <w:r w:rsidR="00CA22C3" w:rsidRPr="004C753F">
              <w:rPr>
                <w:rFonts w:ascii="Verdana" w:hAnsi="Verdana"/>
                <w:color w:val="595959" w:themeColor="text1" w:themeTint="A6"/>
                <w:sz w:val="18"/>
              </w:rPr>
              <w:t>.</w:t>
            </w:r>
          </w:p>
        </w:tc>
      </w:tr>
      <w:tr w:rsidR="00FF6856" w:rsidRPr="00EF00F2" w14:paraId="1529B033" w14:textId="77777777" w:rsidTr="00CA22C3">
        <w:trPr>
          <w:trHeight w:val="1417"/>
        </w:trPr>
        <w:tc>
          <w:tcPr>
            <w:tcW w:w="1417" w:type="dxa"/>
          </w:tcPr>
          <w:p w14:paraId="3B12AD43" w14:textId="77777777" w:rsidR="00FF6856" w:rsidRPr="004C753F" w:rsidRDefault="00213DED" w:rsidP="00081723">
            <w:pPr>
              <w:spacing w:after="80" w:line="288" w:lineRule="auto"/>
              <w:jc w:val="center"/>
              <w:rPr>
                <w:rFonts w:ascii="Verdana" w:hAnsi="Verdana"/>
                <w:sz w:val="18"/>
                <w:szCs w:val="18"/>
                <w:lang w:val="es-ES"/>
              </w:rPr>
            </w:pPr>
            <w:r w:rsidRPr="004C753F">
              <w:rPr>
                <w:rFonts w:ascii="Verdana" w:hAnsi="Verdana"/>
                <w:noProof/>
                <w:lang w:eastAsia="es-CL"/>
              </w:rPr>
              <w:drawing>
                <wp:inline distT="0" distB="0" distL="0" distR="0" wp14:anchorId="240F356A" wp14:editId="7680DFE6">
                  <wp:extent cx="561600" cy="561600"/>
                  <wp:effectExtent l="0" t="0" r="0" b="0"/>
                  <wp:docPr id="9" name="Gráfico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00" cy="56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1" w:type="dxa"/>
          </w:tcPr>
          <w:p w14:paraId="568DB370" w14:textId="7B60F354" w:rsidR="00540A34" w:rsidRPr="00EF00F2" w:rsidRDefault="009B184E" w:rsidP="00B5783A">
            <w:pPr>
              <w:spacing w:after="80" w:line="288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C753F">
              <w:rPr>
                <w:rFonts w:ascii="Verdana" w:hAnsi="Verdana"/>
                <w:b/>
                <w:color w:val="2E74B5" w:themeColor="accent5" w:themeShade="BF"/>
                <w:sz w:val="18"/>
                <w:lang w:val="es-ES"/>
              </w:rPr>
              <w:t xml:space="preserve">Soluciones de reparación </w:t>
            </w:r>
            <w:r w:rsidR="00213DED" w:rsidRPr="004C753F">
              <w:rPr>
                <w:rFonts w:ascii="Verdana" w:hAnsi="Verdana"/>
                <w:color w:val="595959" w:themeColor="text1" w:themeTint="A6"/>
                <w:sz w:val="18"/>
              </w:rPr>
              <w:t>corresponden a la recuperación de viviendas con daño moderado</w:t>
            </w:r>
            <w:r w:rsidR="00CA22C3" w:rsidRPr="004C753F">
              <w:rPr>
                <w:rFonts w:ascii="Verdana" w:hAnsi="Verdana"/>
                <w:color w:val="595959" w:themeColor="text1" w:themeTint="A6"/>
                <w:sz w:val="18"/>
              </w:rPr>
              <w:t xml:space="preserve"> y mayor, mediante un proyecto con asistencia técnica</w:t>
            </w:r>
            <w:r w:rsidR="00213DED" w:rsidRPr="004C753F">
              <w:rPr>
                <w:rFonts w:ascii="Verdana" w:hAnsi="Verdana"/>
                <w:color w:val="595959" w:themeColor="text1" w:themeTint="A6"/>
                <w:sz w:val="18"/>
              </w:rPr>
              <w:t xml:space="preserve">, pero que no implicaron el colapso de la vivienda luego de las </w:t>
            </w:r>
            <w:r w:rsidR="00CA22C3" w:rsidRPr="004C753F">
              <w:rPr>
                <w:rFonts w:ascii="Verdana" w:hAnsi="Verdana"/>
                <w:color w:val="595959" w:themeColor="text1" w:themeTint="A6"/>
                <w:sz w:val="18"/>
              </w:rPr>
              <w:t>lluvias</w:t>
            </w:r>
            <w:r w:rsidR="00213DED" w:rsidRPr="004C753F">
              <w:rPr>
                <w:rFonts w:ascii="Verdana" w:hAnsi="Verdana"/>
                <w:color w:val="595959" w:themeColor="text1" w:themeTint="A6"/>
                <w:sz w:val="18"/>
              </w:rPr>
              <w:t xml:space="preserve">. A la fecha, </w:t>
            </w:r>
            <w:r w:rsidR="00DD1FAA">
              <w:rPr>
                <w:rFonts w:ascii="Verdana" w:hAnsi="Verdana"/>
                <w:color w:val="595959" w:themeColor="text1" w:themeTint="A6"/>
                <w:sz w:val="18"/>
              </w:rPr>
              <w:t>de las 2</w:t>
            </w:r>
            <w:r w:rsidR="00387276">
              <w:rPr>
                <w:rFonts w:ascii="Verdana" w:hAnsi="Verdana"/>
                <w:color w:val="595959" w:themeColor="text1" w:themeTint="A6"/>
                <w:sz w:val="18"/>
              </w:rPr>
              <w:t>13</w:t>
            </w:r>
            <w:r w:rsidR="00DD1FAA">
              <w:rPr>
                <w:rFonts w:ascii="Verdana" w:hAnsi="Verdana"/>
                <w:color w:val="595959" w:themeColor="text1" w:themeTint="A6"/>
                <w:sz w:val="18"/>
              </w:rPr>
              <w:t xml:space="preserve"> </w:t>
            </w:r>
            <w:r w:rsidR="00AA7DDF" w:rsidRPr="004C753F">
              <w:rPr>
                <w:rFonts w:ascii="Verdana" w:hAnsi="Verdana"/>
                <w:color w:val="595959" w:themeColor="text1" w:themeTint="A6"/>
                <w:sz w:val="18"/>
              </w:rPr>
              <w:t>familias a atender</w:t>
            </w:r>
            <w:r w:rsidR="007F18CB">
              <w:rPr>
                <w:rFonts w:ascii="Verdana" w:hAnsi="Verdana"/>
                <w:color w:val="595959" w:themeColor="text1" w:themeTint="A6"/>
                <w:sz w:val="18"/>
              </w:rPr>
              <w:t>,</w:t>
            </w:r>
            <w:r w:rsidR="00DD1FAA">
              <w:rPr>
                <w:rFonts w:ascii="Verdana" w:hAnsi="Verdana"/>
                <w:color w:val="595959" w:themeColor="text1" w:themeTint="A6"/>
                <w:sz w:val="18"/>
              </w:rPr>
              <w:t xml:space="preserve"> </w:t>
            </w:r>
            <w:r w:rsidR="00387276">
              <w:rPr>
                <w:rFonts w:ascii="Verdana" w:hAnsi="Verdana"/>
                <w:color w:val="595959" w:themeColor="text1" w:themeTint="A6"/>
                <w:sz w:val="18"/>
              </w:rPr>
              <w:t>todas</w:t>
            </w:r>
            <w:r w:rsidR="007B3000" w:rsidRPr="004C753F">
              <w:rPr>
                <w:rFonts w:ascii="Verdana" w:hAnsi="Verdana"/>
                <w:color w:val="595959" w:themeColor="text1" w:themeTint="A6"/>
                <w:sz w:val="18"/>
              </w:rPr>
              <w:t xml:space="preserve"> ti</w:t>
            </w:r>
            <w:r w:rsidR="00DD1FAA">
              <w:rPr>
                <w:rFonts w:ascii="Verdana" w:hAnsi="Verdana"/>
                <w:color w:val="595959" w:themeColor="text1" w:themeTint="A6"/>
                <w:sz w:val="18"/>
              </w:rPr>
              <w:t>e</w:t>
            </w:r>
            <w:r w:rsidR="007B3000" w:rsidRPr="004C753F">
              <w:rPr>
                <w:rFonts w:ascii="Verdana" w:hAnsi="Verdana"/>
                <w:color w:val="595959" w:themeColor="text1" w:themeTint="A6"/>
                <w:sz w:val="18"/>
              </w:rPr>
              <w:t>nen su subsidio asignado</w:t>
            </w:r>
            <w:r w:rsidR="00FC0797">
              <w:rPr>
                <w:rFonts w:ascii="Verdana" w:hAnsi="Verdana"/>
                <w:color w:val="595959" w:themeColor="text1" w:themeTint="A6"/>
                <w:sz w:val="18"/>
              </w:rPr>
              <w:t xml:space="preserve">. </w:t>
            </w:r>
            <w:r w:rsidR="0039192F">
              <w:rPr>
                <w:rFonts w:ascii="Verdana" w:hAnsi="Verdana"/>
                <w:color w:val="595959" w:themeColor="text1" w:themeTint="A6"/>
                <w:sz w:val="18"/>
              </w:rPr>
              <w:t>3</w:t>
            </w:r>
            <w:r w:rsidR="0003639A">
              <w:rPr>
                <w:rFonts w:ascii="Verdana" w:hAnsi="Verdana"/>
                <w:color w:val="595959" w:themeColor="text1" w:themeTint="A6"/>
                <w:sz w:val="18"/>
              </w:rPr>
              <w:t>6</w:t>
            </w:r>
            <w:r w:rsidR="00FC0797">
              <w:rPr>
                <w:rFonts w:ascii="Verdana" w:hAnsi="Verdana"/>
                <w:color w:val="595959" w:themeColor="text1" w:themeTint="A6"/>
                <w:sz w:val="18"/>
              </w:rPr>
              <w:t xml:space="preserve"> </w:t>
            </w:r>
            <w:r w:rsidR="007B3000" w:rsidRPr="004C753F">
              <w:rPr>
                <w:rFonts w:ascii="Verdana" w:hAnsi="Verdana"/>
                <w:color w:val="595959" w:themeColor="text1" w:themeTint="A6"/>
                <w:sz w:val="18"/>
              </w:rPr>
              <w:t>de ellas</w:t>
            </w:r>
            <w:r w:rsidR="00FC0797">
              <w:rPr>
                <w:rFonts w:ascii="Verdana" w:hAnsi="Verdana"/>
                <w:color w:val="595959" w:themeColor="text1" w:themeTint="A6"/>
                <w:sz w:val="18"/>
              </w:rPr>
              <w:t xml:space="preserve"> renuncia</w:t>
            </w:r>
            <w:r w:rsidR="00416A5E">
              <w:rPr>
                <w:rFonts w:ascii="Verdana" w:hAnsi="Verdana"/>
                <w:color w:val="595959" w:themeColor="text1" w:themeTint="A6"/>
                <w:sz w:val="18"/>
              </w:rPr>
              <w:t>ron</w:t>
            </w:r>
            <w:r w:rsidR="0003639A">
              <w:rPr>
                <w:rFonts w:ascii="Verdana" w:hAnsi="Verdana"/>
                <w:color w:val="595959" w:themeColor="text1" w:themeTint="A6"/>
                <w:sz w:val="18"/>
              </w:rPr>
              <w:t xml:space="preserve"> al subsidio</w:t>
            </w:r>
            <w:r w:rsidR="007B3000" w:rsidRPr="004C753F">
              <w:rPr>
                <w:rFonts w:ascii="Verdana" w:hAnsi="Verdana"/>
                <w:color w:val="595959" w:themeColor="text1" w:themeTint="A6"/>
                <w:sz w:val="18"/>
              </w:rPr>
              <w:t>,</w:t>
            </w:r>
            <w:r w:rsidR="00213DED" w:rsidRPr="004C753F">
              <w:rPr>
                <w:rFonts w:ascii="Verdana" w:hAnsi="Verdana"/>
                <w:color w:val="595959" w:themeColor="text1" w:themeTint="A6"/>
                <w:sz w:val="18"/>
              </w:rPr>
              <w:t xml:space="preserve"> </w:t>
            </w:r>
            <w:r w:rsidR="009A53E3">
              <w:rPr>
                <w:rFonts w:ascii="Verdana" w:hAnsi="Verdana"/>
                <w:color w:val="595959" w:themeColor="text1" w:themeTint="A6"/>
                <w:sz w:val="18"/>
              </w:rPr>
              <w:t>1</w:t>
            </w:r>
            <w:r w:rsidR="006279BE">
              <w:rPr>
                <w:rFonts w:ascii="Verdana" w:hAnsi="Verdana"/>
                <w:color w:val="595959" w:themeColor="text1" w:themeTint="A6"/>
                <w:sz w:val="18"/>
              </w:rPr>
              <w:t>7</w:t>
            </w:r>
            <w:r w:rsidR="0028793D">
              <w:rPr>
                <w:rFonts w:ascii="Verdana" w:hAnsi="Verdana"/>
                <w:color w:val="595959" w:themeColor="text1" w:themeTint="A6"/>
                <w:sz w:val="18"/>
              </w:rPr>
              <w:t>2</w:t>
            </w:r>
            <w:r w:rsidR="009A53E3" w:rsidRPr="004C753F">
              <w:rPr>
                <w:rFonts w:ascii="Verdana" w:hAnsi="Verdana"/>
                <w:color w:val="595959" w:themeColor="text1" w:themeTint="A6"/>
                <w:sz w:val="18"/>
              </w:rPr>
              <w:t xml:space="preserve"> </w:t>
            </w:r>
            <w:r w:rsidR="000A7769" w:rsidRPr="004C753F">
              <w:rPr>
                <w:rFonts w:ascii="Verdana" w:hAnsi="Verdana"/>
                <w:color w:val="595959" w:themeColor="text1" w:themeTint="A6"/>
                <w:sz w:val="18"/>
              </w:rPr>
              <w:t>han terminado sus</w:t>
            </w:r>
            <w:r w:rsidR="00CA22C3" w:rsidRPr="004C753F">
              <w:rPr>
                <w:rFonts w:ascii="Verdana" w:hAnsi="Verdana"/>
                <w:color w:val="595959" w:themeColor="text1" w:themeTint="A6"/>
                <w:sz w:val="18"/>
              </w:rPr>
              <w:t xml:space="preserve"> obras</w:t>
            </w:r>
            <w:r w:rsidR="007B3000" w:rsidRPr="004C753F">
              <w:rPr>
                <w:rFonts w:ascii="Verdana" w:hAnsi="Verdana"/>
                <w:color w:val="595959" w:themeColor="text1" w:themeTint="A6"/>
                <w:sz w:val="18"/>
              </w:rPr>
              <w:t xml:space="preserve"> (</w:t>
            </w:r>
            <w:r w:rsidR="008235CD">
              <w:rPr>
                <w:rFonts w:ascii="Verdana" w:hAnsi="Verdana"/>
                <w:color w:val="595959" w:themeColor="text1" w:themeTint="A6"/>
                <w:sz w:val="18"/>
              </w:rPr>
              <w:t>9</w:t>
            </w:r>
            <w:r w:rsidR="0028793D">
              <w:rPr>
                <w:rFonts w:ascii="Verdana" w:hAnsi="Verdana"/>
                <w:color w:val="595959" w:themeColor="text1" w:themeTint="A6"/>
                <w:sz w:val="18"/>
              </w:rPr>
              <w:t>7</w:t>
            </w:r>
            <w:r w:rsidR="007F18CB">
              <w:rPr>
                <w:rFonts w:ascii="Verdana" w:hAnsi="Verdana"/>
                <w:color w:val="595959" w:themeColor="text1" w:themeTint="A6"/>
                <w:sz w:val="18"/>
              </w:rPr>
              <w:t>,</w:t>
            </w:r>
            <w:r w:rsidR="0028793D">
              <w:rPr>
                <w:rFonts w:ascii="Verdana" w:hAnsi="Verdana"/>
                <w:color w:val="595959" w:themeColor="text1" w:themeTint="A6"/>
                <w:sz w:val="18"/>
              </w:rPr>
              <w:t>2</w:t>
            </w:r>
            <w:r w:rsidR="007B3000" w:rsidRPr="004C753F">
              <w:rPr>
                <w:rFonts w:ascii="Verdana" w:hAnsi="Verdana"/>
                <w:color w:val="595959" w:themeColor="text1" w:themeTint="A6"/>
                <w:sz w:val="18"/>
              </w:rPr>
              <w:t>%)</w:t>
            </w:r>
            <w:r w:rsidR="0039192F">
              <w:rPr>
                <w:rFonts w:ascii="Verdana" w:hAnsi="Verdana"/>
                <w:color w:val="595959" w:themeColor="text1" w:themeTint="A6"/>
                <w:sz w:val="18"/>
              </w:rPr>
              <w:t xml:space="preserve"> y</w:t>
            </w:r>
            <w:r w:rsidR="00F70E2F" w:rsidRPr="004C753F">
              <w:rPr>
                <w:rFonts w:ascii="Verdana" w:hAnsi="Verdana"/>
                <w:color w:val="595959" w:themeColor="text1" w:themeTint="A6"/>
                <w:sz w:val="18"/>
              </w:rPr>
              <w:t xml:space="preserve"> </w:t>
            </w:r>
            <w:r w:rsidR="0028793D">
              <w:rPr>
                <w:rFonts w:ascii="Verdana" w:hAnsi="Verdana"/>
                <w:color w:val="595959" w:themeColor="text1" w:themeTint="A6"/>
                <w:sz w:val="18"/>
              </w:rPr>
              <w:t>5</w:t>
            </w:r>
            <w:r w:rsidR="009A53E3" w:rsidRPr="004C753F">
              <w:rPr>
                <w:rFonts w:ascii="Verdana" w:hAnsi="Verdana"/>
                <w:color w:val="595959" w:themeColor="text1" w:themeTint="A6"/>
                <w:sz w:val="18"/>
              </w:rPr>
              <w:t xml:space="preserve"> </w:t>
            </w:r>
            <w:r w:rsidR="00F70E2F" w:rsidRPr="004C753F">
              <w:rPr>
                <w:rFonts w:ascii="Verdana" w:hAnsi="Verdana"/>
                <w:color w:val="595959" w:themeColor="text1" w:themeTint="A6"/>
                <w:sz w:val="18"/>
              </w:rPr>
              <w:t xml:space="preserve">están </w:t>
            </w:r>
            <w:r w:rsidR="000A7769" w:rsidRPr="004C753F">
              <w:rPr>
                <w:rFonts w:ascii="Verdana" w:hAnsi="Verdana"/>
                <w:color w:val="595959" w:themeColor="text1" w:themeTint="A6"/>
                <w:sz w:val="18"/>
              </w:rPr>
              <w:t>en ejecución</w:t>
            </w:r>
            <w:r w:rsidR="00BA30C4" w:rsidRPr="004C753F">
              <w:rPr>
                <w:rFonts w:ascii="Verdana" w:hAnsi="Verdana"/>
                <w:color w:val="595959" w:themeColor="text1" w:themeTint="A6"/>
                <w:sz w:val="18"/>
              </w:rPr>
              <w:t>.</w:t>
            </w:r>
          </w:p>
        </w:tc>
      </w:tr>
    </w:tbl>
    <w:p w14:paraId="7B594634" w14:textId="77777777" w:rsidR="00A3782B" w:rsidRPr="004440AA" w:rsidRDefault="00A3782B">
      <w:pPr>
        <w:rPr>
          <w:rFonts w:ascii="Verdana" w:hAnsi="Verdana"/>
          <w:color w:val="595959" w:themeColor="text1" w:themeTint="A6"/>
          <w:sz w:val="16"/>
          <w:szCs w:val="20"/>
          <w:highlight w:val="yellow"/>
        </w:rPr>
      </w:pPr>
      <w:r w:rsidRPr="004440AA">
        <w:rPr>
          <w:rFonts w:ascii="Verdana" w:hAnsi="Verdana"/>
          <w:color w:val="595959" w:themeColor="text1" w:themeTint="A6"/>
          <w:sz w:val="16"/>
          <w:szCs w:val="20"/>
          <w:highlight w:val="yellow"/>
        </w:rPr>
        <w:br w:type="page"/>
      </w:r>
    </w:p>
    <w:p w14:paraId="2AE72324" w14:textId="77777777" w:rsidR="009B5EF4" w:rsidRPr="006B2569" w:rsidRDefault="009B5EF4" w:rsidP="000E3188">
      <w:pPr>
        <w:spacing w:before="160" w:after="120" w:line="264" w:lineRule="auto"/>
        <w:jc w:val="both"/>
        <w:rPr>
          <w:rFonts w:ascii="Verdana" w:hAnsi="Verdana"/>
          <w:color w:val="595959" w:themeColor="text1" w:themeTint="A6"/>
          <w:sz w:val="16"/>
          <w:szCs w:val="20"/>
        </w:rPr>
      </w:pPr>
      <w:r w:rsidRPr="00300AEE">
        <w:rPr>
          <w:rFonts w:ascii="Verdana" w:hAnsi="Verdana"/>
          <w:color w:val="595959" w:themeColor="text1" w:themeTint="A6"/>
          <w:sz w:val="16"/>
          <w:szCs w:val="20"/>
        </w:rPr>
        <w:lastRenderedPageBreak/>
        <w:t>TABLA 1: RESUMEN DE SUBSIDIOS ASIGNADOS Y AVANCES POR MODALIDAD</w:t>
      </w:r>
    </w:p>
    <w:tbl>
      <w:tblPr>
        <w:tblStyle w:val="Tablanormal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92"/>
        <w:gridCol w:w="1792"/>
        <w:gridCol w:w="1792"/>
        <w:gridCol w:w="1792"/>
        <w:gridCol w:w="1792"/>
      </w:tblGrid>
      <w:tr w:rsidR="007F18CB" w:rsidRPr="006B2569" w14:paraId="0E94C2F4" w14:textId="6C0E65AE" w:rsidTr="007F18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vMerge w:val="restart"/>
            <w:shd w:val="clear" w:color="auto" w:fill="419DF1"/>
            <w:vAlign w:val="center"/>
            <w:hideMark/>
          </w:tcPr>
          <w:p w14:paraId="003BE570" w14:textId="77777777" w:rsidR="007F18CB" w:rsidRPr="006B2569" w:rsidRDefault="007F18CB" w:rsidP="00AB4B9A">
            <w:pPr>
              <w:jc w:val="center"/>
              <w:rPr>
                <w:rFonts w:ascii="Verdana" w:eastAsia="Times New Roman" w:hAnsi="Verdana"/>
                <w:b w:val="0"/>
                <w:bCs w:val="0"/>
                <w:color w:val="FFFFFF" w:themeColor="background1"/>
                <w:sz w:val="15"/>
                <w:szCs w:val="15"/>
                <w:lang w:eastAsia="es-CL"/>
              </w:rPr>
            </w:pPr>
            <w:r w:rsidRPr="006B2569">
              <w:rPr>
                <w:rFonts w:ascii="Verdana" w:eastAsia="Times New Roman" w:hAnsi="Verdana"/>
                <w:color w:val="FFFFFF" w:themeColor="background1"/>
                <w:sz w:val="16"/>
                <w:szCs w:val="15"/>
                <w:lang w:eastAsia="es-CL"/>
              </w:rPr>
              <w:t>Modalidad</w:t>
            </w:r>
          </w:p>
        </w:tc>
        <w:tc>
          <w:tcPr>
            <w:tcW w:w="1792" w:type="dxa"/>
            <w:vMerge w:val="restart"/>
            <w:shd w:val="clear" w:color="auto" w:fill="419DF1"/>
            <w:vAlign w:val="center"/>
            <w:hideMark/>
          </w:tcPr>
          <w:p w14:paraId="14DDA67F" w14:textId="77777777" w:rsidR="007F18CB" w:rsidRPr="004C753F" w:rsidRDefault="007F18CB" w:rsidP="00AB4B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color w:val="FFFFFF" w:themeColor="background1"/>
                <w:sz w:val="16"/>
                <w:szCs w:val="16"/>
                <w:lang w:eastAsia="es-CL"/>
              </w:rPr>
            </w:pPr>
            <w:r w:rsidRPr="004C753F">
              <w:rPr>
                <w:rFonts w:ascii="Verdana" w:eastAsia="Times New Roman" w:hAnsi="Verdana"/>
                <w:color w:val="FFFFFF" w:themeColor="background1"/>
                <w:sz w:val="16"/>
                <w:szCs w:val="15"/>
                <w:lang w:eastAsia="es-CL"/>
              </w:rPr>
              <w:t>Soluciones habitacionales vigentes</w:t>
            </w:r>
            <w:r w:rsidRPr="004C753F">
              <w:rPr>
                <w:rStyle w:val="Refdenotaalpie"/>
                <w:rFonts w:ascii="Verdana" w:eastAsia="Times New Roman" w:hAnsi="Verdana"/>
                <w:color w:val="FFFFFF" w:themeColor="background1"/>
                <w:sz w:val="16"/>
                <w:szCs w:val="16"/>
                <w:lang w:eastAsia="es-CL"/>
              </w:rPr>
              <w:footnoteReference w:id="1"/>
            </w:r>
          </w:p>
        </w:tc>
        <w:tc>
          <w:tcPr>
            <w:tcW w:w="5376" w:type="dxa"/>
            <w:gridSpan w:val="3"/>
            <w:shd w:val="clear" w:color="auto" w:fill="419DF1"/>
            <w:vAlign w:val="center"/>
            <w:hideMark/>
          </w:tcPr>
          <w:p w14:paraId="16492172" w14:textId="77777777" w:rsidR="007F18CB" w:rsidRPr="004C753F" w:rsidRDefault="007F18CB" w:rsidP="00AB4B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color w:val="FFFFFF" w:themeColor="background1"/>
                <w:sz w:val="15"/>
                <w:szCs w:val="15"/>
                <w:lang w:eastAsia="es-CL"/>
              </w:rPr>
            </w:pPr>
            <w:r w:rsidRPr="004C753F">
              <w:rPr>
                <w:rFonts w:ascii="Verdana" w:eastAsia="Times New Roman" w:hAnsi="Verdana"/>
                <w:color w:val="FFFFFF" w:themeColor="background1"/>
                <w:sz w:val="16"/>
                <w:szCs w:val="15"/>
                <w:lang w:eastAsia="es-CL"/>
              </w:rPr>
              <w:t>Soluciones habitacionales vigentes</w:t>
            </w:r>
          </w:p>
        </w:tc>
      </w:tr>
      <w:tr w:rsidR="007F18CB" w:rsidRPr="006B2569" w14:paraId="3DC8A0B5" w14:textId="176C4EC7" w:rsidTr="007F1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vMerge/>
            <w:shd w:val="clear" w:color="auto" w:fill="419DF1"/>
            <w:vAlign w:val="center"/>
            <w:hideMark/>
          </w:tcPr>
          <w:p w14:paraId="7C07BA93" w14:textId="77777777" w:rsidR="007F18CB" w:rsidRPr="006B2569" w:rsidRDefault="007F18CB" w:rsidP="00AB4B9A">
            <w:pPr>
              <w:jc w:val="center"/>
              <w:rPr>
                <w:rFonts w:ascii="Verdana" w:eastAsia="Times New Roman" w:hAnsi="Verdana"/>
                <w:b w:val="0"/>
                <w:bCs w:val="0"/>
                <w:color w:val="FFFFFF" w:themeColor="background1"/>
                <w:sz w:val="15"/>
                <w:szCs w:val="15"/>
                <w:lang w:eastAsia="es-CL"/>
              </w:rPr>
            </w:pPr>
          </w:p>
        </w:tc>
        <w:tc>
          <w:tcPr>
            <w:tcW w:w="1792" w:type="dxa"/>
            <w:vMerge/>
            <w:shd w:val="clear" w:color="auto" w:fill="419DF1"/>
            <w:vAlign w:val="center"/>
            <w:hideMark/>
          </w:tcPr>
          <w:p w14:paraId="4F8D84AE" w14:textId="77777777" w:rsidR="007F18CB" w:rsidRPr="004C753F" w:rsidRDefault="007F18CB" w:rsidP="00AB4B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</w:p>
        </w:tc>
        <w:tc>
          <w:tcPr>
            <w:tcW w:w="1792" w:type="dxa"/>
            <w:shd w:val="clear" w:color="auto" w:fill="0070C0"/>
            <w:vAlign w:val="center"/>
            <w:hideMark/>
          </w:tcPr>
          <w:p w14:paraId="0327ED31" w14:textId="77777777" w:rsidR="007F18CB" w:rsidRPr="004C753F" w:rsidRDefault="007F18CB" w:rsidP="00AB4B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4C753F">
              <w:rPr>
                <w:rFonts w:ascii="Verdana" w:eastAsia="Times New Roman" w:hAnsi="Verdana"/>
                <w:b/>
                <w:bCs/>
                <w:color w:val="FFFFFF" w:themeColor="background1"/>
                <w:sz w:val="16"/>
                <w:szCs w:val="15"/>
                <w:lang w:eastAsia="es-CL"/>
              </w:rPr>
              <w:t>Ejecutadas</w:t>
            </w:r>
            <w:r w:rsidRPr="004C753F">
              <w:rPr>
                <w:rFonts w:ascii="Verdana" w:hAnsi="Verdana"/>
                <w:color w:val="FFFFFF" w:themeColor="background1"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1792" w:type="dxa"/>
            <w:shd w:val="clear" w:color="auto" w:fill="0070C0"/>
            <w:vAlign w:val="center"/>
            <w:hideMark/>
          </w:tcPr>
          <w:p w14:paraId="2DC32C72" w14:textId="77777777" w:rsidR="007F18CB" w:rsidRPr="004C753F" w:rsidRDefault="007F18CB" w:rsidP="003E38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4C753F">
              <w:rPr>
                <w:rFonts w:ascii="Verdana" w:eastAsia="Times New Roman" w:hAnsi="Verdana"/>
                <w:b/>
                <w:bCs/>
                <w:color w:val="FFFFFF" w:themeColor="background1"/>
                <w:sz w:val="16"/>
                <w:szCs w:val="15"/>
                <w:lang w:eastAsia="es-CL"/>
              </w:rPr>
              <w:t>En ejecución</w:t>
            </w:r>
            <w:r w:rsidRPr="004C753F">
              <w:rPr>
                <w:rFonts w:ascii="Verdana" w:hAnsi="Verdana"/>
                <w:color w:val="FFFFFF" w:themeColor="background1"/>
                <w:sz w:val="16"/>
                <w:szCs w:val="16"/>
                <w:vertAlign w:val="superscript"/>
              </w:rPr>
              <w:footnoteReference w:id="3"/>
            </w:r>
          </w:p>
        </w:tc>
        <w:tc>
          <w:tcPr>
            <w:tcW w:w="1792" w:type="dxa"/>
            <w:shd w:val="clear" w:color="auto" w:fill="0070C0"/>
            <w:vAlign w:val="center"/>
            <w:hideMark/>
          </w:tcPr>
          <w:p w14:paraId="338CDB5F" w14:textId="77777777" w:rsidR="007F18CB" w:rsidRPr="004C753F" w:rsidRDefault="007F18CB" w:rsidP="00AB4B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4C753F">
              <w:rPr>
                <w:rFonts w:ascii="Verdana" w:eastAsia="Times New Roman" w:hAnsi="Verdana"/>
                <w:b/>
                <w:bCs/>
                <w:color w:val="FFFFFF" w:themeColor="background1"/>
                <w:sz w:val="16"/>
                <w:szCs w:val="15"/>
                <w:lang w:eastAsia="es-CL"/>
              </w:rPr>
              <w:t>Sin inicio</w:t>
            </w:r>
            <w:r w:rsidRPr="004C753F">
              <w:rPr>
                <w:rFonts w:ascii="Verdana" w:hAnsi="Verdana"/>
                <w:color w:val="FFFFFF" w:themeColor="background1"/>
                <w:sz w:val="16"/>
                <w:szCs w:val="16"/>
                <w:vertAlign w:val="superscript"/>
              </w:rPr>
              <w:footnoteReference w:id="4"/>
            </w:r>
          </w:p>
        </w:tc>
      </w:tr>
      <w:tr w:rsidR="007F18CB" w:rsidRPr="006B2569" w14:paraId="0B7FD000" w14:textId="57ABC733" w:rsidTr="008171A3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shd w:val="clear" w:color="auto" w:fill="419DF1"/>
            <w:vAlign w:val="center"/>
          </w:tcPr>
          <w:p w14:paraId="54CA0762" w14:textId="77777777" w:rsidR="007F18CB" w:rsidRPr="006B2569" w:rsidRDefault="007F18CB" w:rsidP="00CA22C3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5"/>
              </w:rPr>
            </w:pPr>
            <w:r>
              <w:rPr>
                <w:rFonts w:ascii="Verdana" w:hAnsi="Verdana"/>
                <w:color w:val="FFFFFF" w:themeColor="background1"/>
                <w:sz w:val="16"/>
                <w:szCs w:val="15"/>
              </w:rPr>
              <w:t>Banco de Materiales</w:t>
            </w:r>
          </w:p>
        </w:tc>
        <w:tc>
          <w:tcPr>
            <w:tcW w:w="1792" w:type="dxa"/>
            <w:vAlign w:val="center"/>
          </w:tcPr>
          <w:p w14:paraId="658A2D51" w14:textId="4B8BBD6B" w:rsidR="007F18CB" w:rsidRPr="004C753F" w:rsidRDefault="00647531" w:rsidP="001A7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404040" w:themeColor="text1" w:themeTint="BF"/>
                <w:sz w:val="16"/>
                <w:szCs w:val="16"/>
              </w:rPr>
            </w:pPr>
            <w:r>
              <w:rPr>
                <w:rFonts w:ascii="Verdana" w:hAnsi="Verdana" w:cs="Calibri"/>
                <w:color w:val="404040" w:themeColor="text1" w:themeTint="BF"/>
                <w:sz w:val="16"/>
                <w:szCs w:val="16"/>
              </w:rPr>
              <w:t>5</w:t>
            </w:r>
            <w:r w:rsidR="0039192F">
              <w:rPr>
                <w:rFonts w:ascii="Verdana" w:hAnsi="Verdana" w:cs="Calibri"/>
                <w:color w:val="404040" w:themeColor="text1" w:themeTint="BF"/>
                <w:sz w:val="16"/>
                <w:szCs w:val="16"/>
              </w:rPr>
              <w:t>18</w:t>
            </w:r>
          </w:p>
        </w:tc>
        <w:tc>
          <w:tcPr>
            <w:tcW w:w="1792" w:type="dxa"/>
            <w:vAlign w:val="center"/>
          </w:tcPr>
          <w:p w14:paraId="00F959CA" w14:textId="6C112826" w:rsidR="007F18CB" w:rsidRPr="004C753F" w:rsidRDefault="00C076C7" w:rsidP="00F5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404040" w:themeColor="text1" w:themeTint="BF"/>
                <w:sz w:val="16"/>
                <w:szCs w:val="16"/>
              </w:rPr>
            </w:pPr>
            <w:r>
              <w:rPr>
                <w:rFonts w:ascii="Verdana" w:hAnsi="Verdana" w:cs="Calibri"/>
                <w:color w:val="404040" w:themeColor="text1" w:themeTint="BF"/>
                <w:sz w:val="16"/>
                <w:szCs w:val="16"/>
              </w:rPr>
              <w:t>5</w:t>
            </w:r>
            <w:r w:rsidR="0039192F">
              <w:rPr>
                <w:rFonts w:ascii="Verdana" w:hAnsi="Verdana" w:cs="Calibri"/>
                <w:color w:val="404040" w:themeColor="text1" w:themeTint="BF"/>
                <w:sz w:val="16"/>
                <w:szCs w:val="16"/>
              </w:rPr>
              <w:t>1</w:t>
            </w:r>
            <w:r w:rsidR="0028793D">
              <w:rPr>
                <w:rFonts w:ascii="Verdana" w:hAnsi="Verdana" w:cs="Calibri"/>
                <w:color w:val="404040" w:themeColor="text1" w:themeTint="BF"/>
                <w:sz w:val="16"/>
                <w:szCs w:val="16"/>
              </w:rPr>
              <w:t>8</w:t>
            </w:r>
          </w:p>
        </w:tc>
        <w:tc>
          <w:tcPr>
            <w:tcW w:w="1792" w:type="dxa"/>
            <w:vAlign w:val="center"/>
          </w:tcPr>
          <w:p w14:paraId="78F65A4B" w14:textId="7FB3DF82" w:rsidR="007F18CB" w:rsidRPr="004C753F" w:rsidRDefault="0028793D" w:rsidP="007B3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404040" w:themeColor="text1" w:themeTint="BF"/>
                <w:sz w:val="16"/>
                <w:szCs w:val="16"/>
              </w:rPr>
            </w:pPr>
            <w:r>
              <w:rPr>
                <w:rFonts w:ascii="Verdana" w:hAnsi="Verdana" w:cs="Calibri"/>
                <w:color w:val="404040" w:themeColor="text1" w:themeTint="BF"/>
                <w:sz w:val="16"/>
                <w:szCs w:val="16"/>
              </w:rPr>
              <w:t>0</w:t>
            </w:r>
          </w:p>
        </w:tc>
        <w:tc>
          <w:tcPr>
            <w:tcW w:w="1792" w:type="dxa"/>
            <w:vAlign w:val="center"/>
          </w:tcPr>
          <w:p w14:paraId="1DF2ED21" w14:textId="671F63A2" w:rsidR="007F18CB" w:rsidRPr="004C753F" w:rsidRDefault="0039192F" w:rsidP="00F5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404040" w:themeColor="text1" w:themeTint="BF"/>
                <w:sz w:val="16"/>
                <w:szCs w:val="16"/>
              </w:rPr>
            </w:pPr>
            <w:r>
              <w:rPr>
                <w:rFonts w:ascii="Verdana" w:hAnsi="Verdana" w:cs="Calibri"/>
                <w:color w:val="404040" w:themeColor="text1" w:themeTint="BF"/>
                <w:sz w:val="16"/>
                <w:szCs w:val="16"/>
              </w:rPr>
              <w:t>0</w:t>
            </w:r>
          </w:p>
        </w:tc>
      </w:tr>
      <w:tr w:rsidR="007F18CB" w:rsidRPr="006B2569" w14:paraId="5EDAD5E1" w14:textId="1E3B9F1D" w:rsidTr="00817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shd w:val="clear" w:color="auto" w:fill="419DF1"/>
            <w:vAlign w:val="center"/>
          </w:tcPr>
          <w:p w14:paraId="415B4EA4" w14:textId="77777777" w:rsidR="007F18CB" w:rsidRPr="006B2569" w:rsidRDefault="007F18CB" w:rsidP="00CA22C3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5"/>
              </w:rPr>
            </w:pPr>
            <w:r>
              <w:rPr>
                <w:rFonts w:ascii="Verdana" w:hAnsi="Verdana"/>
                <w:color w:val="FFFFFF" w:themeColor="background1"/>
                <w:sz w:val="16"/>
                <w:szCs w:val="15"/>
              </w:rPr>
              <w:t>Reparación con proyecto</w:t>
            </w:r>
          </w:p>
        </w:tc>
        <w:tc>
          <w:tcPr>
            <w:tcW w:w="1792" w:type="dxa"/>
            <w:vAlign w:val="center"/>
          </w:tcPr>
          <w:p w14:paraId="66E4BDB8" w14:textId="3FA2F210" w:rsidR="007F18CB" w:rsidRPr="004C753F" w:rsidRDefault="00FC4250" w:rsidP="00B57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404040" w:themeColor="text1" w:themeTint="BF"/>
                <w:sz w:val="16"/>
                <w:szCs w:val="16"/>
              </w:rPr>
            </w:pPr>
            <w:r>
              <w:rPr>
                <w:rFonts w:ascii="Verdana" w:hAnsi="Verdana" w:cs="Calibri"/>
                <w:color w:val="404040" w:themeColor="text1" w:themeTint="BF"/>
                <w:sz w:val="16"/>
                <w:szCs w:val="16"/>
              </w:rPr>
              <w:t>1</w:t>
            </w:r>
            <w:r w:rsidR="0039192F">
              <w:rPr>
                <w:rFonts w:ascii="Verdana" w:hAnsi="Verdana" w:cs="Calibri"/>
                <w:color w:val="404040" w:themeColor="text1" w:themeTint="BF"/>
                <w:sz w:val="16"/>
                <w:szCs w:val="16"/>
              </w:rPr>
              <w:t>7</w:t>
            </w:r>
            <w:r w:rsidR="0003639A">
              <w:rPr>
                <w:rFonts w:ascii="Verdana" w:hAnsi="Verdana" w:cs="Calibri"/>
                <w:color w:val="404040" w:themeColor="text1" w:themeTint="BF"/>
                <w:sz w:val="16"/>
                <w:szCs w:val="16"/>
              </w:rPr>
              <w:t>7</w:t>
            </w:r>
          </w:p>
        </w:tc>
        <w:tc>
          <w:tcPr>
            <w:tcW w:w="1792" w:type="dxa"/>
            <w:vAlign w:val="center"/>
          </w:tcPr>
          <w:p w14:paraId="704F3B5E" w14:textId="11C301CE" w:rsidR="007F18CB" w:rsidRPr="004C753F" w:rsidRDefault="007F18CB" w:rsidP="00DC1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404040" w:themeColor="text1" w:themeTint="BF"/>
                <w:sz w:val="16"/>
                <w:szCs w:val="16"/>
              </w:rPr>
            </w:pPr>
            <w:r>
              <w:rPr>
                <w:rFonts w:ascii="Verdana" w:hAnsi="Verdana" w:cs="Calibri"/>
                <w:color w:val="404040" w:themeColor="text1" w:themeTint="BF"/>
                <w:sz w:val="16"/>
                <w:szCs w:val="16"/>
              </w:rPr>
              <w:t>1</w:t>
            </w:r>
            <w:r w:rsidR="006279BE">
              <w:rPr>
                <w:rFonts w:ascii="Verdana" w:hAnsi="Verdana" w:cs="Calibri"/>
                <w:color w:val="404040" w:themeColor="text1" w:themeTint="BF"/>
                <w:sz w:val="16"/>
                <w:szCs w:val="16"/>
              </w:rPr>
              <w:t>7</w:t>
            </w:r>
            <w:r w:rsidR="0028793D">
              <w:rPr>
                <w:rFonts w:ascii="Verdana" w:hAnsi="Verdana" w:cs="Calibri"/>
                <w:color w:val="404040" w:themeColor="text1" w:themeTint="BF"/>
                <w:sz w:val="16"/>
                <w:szCs w:val="16"/>
              </w:rPr>
              <w:t>2</w:t>
            </w:r>
          </w:p>
        </w:tc>
        <w:tc>
          <w:tcPr>
            <w:tcW w:w="1792" w:type="dxa"/>
            <w:vAlign w:val="center"/>
          </w:tcPr>
          <w:p w14:paraId="2AA58B32" w14:textId="3A4DE505" w:rsidR="007F18CB" w:rsidRPr="004C753F" w:rsidRDefault="0028793D" w:rsidP="00DC1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404040" w:themeColor="text1" w:themeTint="BF"/>
                <w:sz w:val="16"/>
                <w:szCs w:val="16"/>
              </w:rPr>
            </w:pPr>
            <w:r>
              <w:rPr>
                <w:rFonts w:ascii="Verdana" w:hAnsi="Verdana" w:cs="Calibri"/>
                <w:color w:val="404040" w:themeColor="text1" w:themeTint="BF"/>
                <w:sz w:val="16"/>
                <w:szCs w:val="16"/>
              </w:rPr>
              <w:t>5</w:t>
            </w:r>
          </w:p>
        </w:tc>
        <w:tc>
          <w:tcPr>
            <w:tcW w:w="1792" w:type="dxa"/>
            <w:vAlign w:val="center"/>
          </w:tcPr>
          <w:p w14:paraId="2BD9D55B" w14:textId="3A3E1FEF" w:rsidR="007F18CB" w:rsidRPr="004C753F" w:rsidRDefault="00446FA4" w:rsidP="00B57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404040" w:themeColor="text1" w:themeTint="BF"/>
                <w:sz w:val="16"/>
                <w:szCs w:val="16"/>
              </w:rPr>
            </w:pPr>
            <w:r>
              <w:rPr>
                <w:rFonts w:ascii="Verdana" w:hAnsi="Verdana" w:cs="Calibri"/>
                <w:color w:val="404040" w:themeColor="text1" w:themeTint="BF"/>
                <w:sz w:val="16"/>
                <w:szCs w:val="16"/>
              </w:rPr>
              <w:t>0</w:t>
            </w:r>
          </w:p>
        </w:tc>
      </w:tr>
      <w:tr w:rsidR="007F18CB" w:rsidRPr="006B2569" w14:paraId="624F432E" w14:textId="5DAECFEE" w:rsidTr="008171A3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shd w:val="clear" w:color="auto" w:fill="0070C0"/>
            <w:vAlign w:val="center"/>
            <w:hideMark/>
          </w:tcPr>
          <w:p w14:paraId="0C4C0011" w14:textId="77777777" w:rsidR="007F18CB" w:rsidRPr="006B2569" w:rsidRDefault="007F18CB" w:rsidP="007B03C6">
            <w:pPr>
              <w:jc w:val="center"/>
              <w:rPr>
                <w:rFonts w:ascii="Verdana" w:hAnsi="Verdana"/>
                <w:b w:val="0"/>
                <w:bCs w:val="0"/>
                <w:color w:val="FFFFFF" w:themeColor="background1"/>
                <w:sz w:val="16"/>
                <w:szCs w:val="15"/>
              </w:rPr>
            </w:pPr>
            <w:r w:rsidRPr="006B2569">
              <w:rPr>
                <w:rFonts w:ascii="Verdana" w:hAnsi="Verdana"/>
                <w:color w:val="FFFFFF" w:themeColor="background1"/>
                <w:sz w:val="16"/>
                <w:szCs w:val="15"/>
              </w:rPr>
              <w:t>Total</w:t>
            </w:r>
          </w:p>
        </w:tc>
        <w:tc>
          <w:tcPr>
            <w:tcW w:w="1792" w:type="dxa"/>
            <w:shd w:val="clear" w:color="auto" w:fill="0070C0"/>
            <w:vAlign w:val="center"/>
            <w:hideMark/>
          </w:tcPr>
          <w:p w14:paraId="5AAB5228" w14:textId="67F32DED" w:rsidR="007F18CB" w:rsidRPr="004C753F" w:rsidRDefault="0039192F" w:rsidP="001A7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FFFFFF" w:themeColor="background1"/>
                <w:sz w:val="16"/>
                <w:szCs w:val="15"/>
                <w:lang w:eastAsia="es-CL"/>
              </w:rPr>
            </w:pPr>
            <w:r>
              <w:rPr>
                <w:rFonts w:ascii="Verdana" w:hAnsi="Verdana" w:cs="Calibri"/>
                <w:b/>
                <w:bCs/>
                <w:color w:val="FFFFFF" w:themeColor="background1"/>
                <w:sz w:val="16"/>
                <w:szCs w:val="15"/>
              </w:rPr>
              <w:t>695</w:t>
            </w:r>
            <w:r w:rsidR="007F18CB" w:rsidRPr="004C753F">
              <w:rPr>
                <w:rStyle w:val="Refdenotaalpie"/>
                <w:rFonts w:ascii="Verdana" w:hAnsi="Verdana"/>
                <w:b/>
                <w:bCs/>
                <w:color w:val="FFFFFF" w:themeColor="background1"/>
                <w:sz w:val="16"/>
                <w:szCs w:val="15"/>
              </w:rPr>
              <w:footnoteReference w:id="5"/>
            </w:r>
          </w:p>
        </w:tc>
        <w:tc>
          <w:tcPr>
            <w:tcW w:w="1792" w:type="dxa"/>
            <w:shd w:val="clear" w:color="auto" w:fill="0070C0"/>
            <w:vAlign w:val="center"/>
            <w:hideMark/>
          </w:tcPr>
          <w:p w14:paraId="797BBB65" w14:textId="11D40D18" w:rsidR="007F18CB" w:rsidRPr="004C753F" w:rsidRDefault="007F18CB" w:rsidP="00B57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FFFFFF" w:themeColor="background1"/>
                <w:sz w:val="16"/>
                <w:szCs w:val="15"/>
              </w:rPr>
            </w:pPr>
            <w:r>
              <w:rPr>
                <w:rFonts w:ascii="Verdana" w:hAnsi="Verdana" w:cs="Calibri"/>
                <w:b/>
                <w:bCs/>
                <w:color w:val="FFFFFF" w:themeColor="background1"/>
                <w:sz w:val="16"/>
                <w:szCs w:val="15"/>
              </w:rPr>
              <w:t>6</w:t>
            </w:r>
            <w:r w:rsidR="0028793D">
              <w:rPr>
                <w:rFonts w:ascii="Verdana" w:hAnsi="Verdana" w:cs="Calibri"/>
                <w:b/>
                <w:bCs/>
                <w:color w:val="FFFFFF" w:themeColor="background1"/>
                <w:sz w:val="16"/>
                <w:szCs w:val="15"/>
              </w:rPr>
              <w:t>90</w:t>
            </w:r>
          </w:p>
        </w:tc>
        <w:tc>
          <w:tcPr>
            <w:tcW w:w="1792" w:type="dxa"/>
            <w:shd w:val="clear" w:color="auto" w:fill="0070C0"/>
            <w:vAlign w:val="center"/>
            <w:hideMark/>
          </w:tcPr>
          <w:p w14:paraId="1AD0FCFE" w14:textId="17290AAA" w:rsidR="007F18CB" w:rsidRPr="004C753F" w:rsidRDefault="0028793D" w:rsidP="00DC1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FFFFFF" w:themeColor="background1"/>
                <w:sz w:val="16"/>
                <w:szCs w:val="15"/>
              </w:rPr>
            </w:pPr>
            <w:r>
              <w:rPr>
                <w:rFonts w:ascii="Verdana" w:hAnsi="Verdana" w:cs="Calibri"/>
                <w:b/>
                <w:bCs/>
                <w:color w:val="FFFFFF" w:themeColor="background1"/>
                <w:sz w:val="16"/>
                <w:szCs w:val="15"/>
              </w:rPr>
              <w:t>5</w:t>
            </w:r>
          </w:p>
        </w:tc>
        <w:tc>
          <w:tcPr>
            <w:tcW w:w="1792" w:type="dxa"/>
            <w:shd w:val="clear" w:color="auto" w:fill="0070C0"/>
            <w:vAlign w:val="center"/>
            <w:hideMark/>
          </w:tcPr>
          <w:p w14:paraId="5E8653F2" w14:textId="39937070" w:rsidR="007F18CB" w:rsidRPr="004C753F" w:rsidRDefault="0039192F" w:rsidP="00B57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FFFFFF" w:themeColor="background1"/>
                <w:sz w:val="16"/>
                <w:szCs w:val="15"/>
              </w:rPr>
            </w:pPr>
            <w:r>
              <w:rPr>
                <w:rFonts w:ascii="Verdana" w:hAnsi="Verdana" w:cs="Calibri"/>
                <w:b/>
                <w:bCs/>
                <w:color w:val="FFFFFF" w:themeColor="background1"/>
                <w:sz w:val="16"/>
                <w:szCs w:val="15"/>
              </w:rPr>
              <w:t>0</w:t>
            </w:r>
          </w:p>
        </w:tc>
      </w:tr>
      <w:tr w:rsidR="007F18CB" w:rsidRPr="006B2569" w14:paraId="18FECBDA" w14:textId="3CD9DCDA" w:rsidTr="00817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shd w:val="clear" w:color="auto" w:fill="419DF1"/>
            <w:vAlign w:val="center"/>
          </w:tcPr>
          <w:p w14:paraId="15D11481" w14:textId="77777777" w:rsidR="007F18CB" w:rsidRPr="00CA22C3" w:rsidRDefault="007F18CB" w:rsidP="007B03C6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5"/>
              </w:rPr>
            </w:pPr>
            <w:r>
              <w:rPr>
                <w:rFonts w:ascii="Verdana" w:hAnsi="Verdana"/>
                <w:color w:val="FFFFFF" w:themeColor="background1"/>
                <w:sz w:val="16"/>
                <w:szCs w:val="15"/>
              </w:rPr>
              <w:t>%</w:t>
            </w:r>
          </w:p>
        </w:tc>
        <w:tc>
          <w:tcPr>
            <w:tcW w:w="1792" w:type="dxa"/>
            <w:shd w:val="clear" w:color="auto" w:fill="419DF1"/>
            <w:vAlign w:val="center"/>
          </w:tcPr>
          <w:p w14:paraId="110C55B5" w14:textId="77777777" w:rsidR="007F18CB" w:rsidRPr="004C753F" w:rsidRDefault="007F18CB" w:rsidP="00FD7D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FFFFFF" w:themeColor="background1"/>
                <w:sz w:val="16"/>
                <w:szCs w:val="15"/>
              </w:rPr>
            </w:pPr>
            <w:r w:rsidRPr="004C753F">
              <w:rPr>
                <w:rFonts w:ascii="Verdana" w:hAnsi="Verdana" w:cs="Calibri"/>
                <w:b/>
                <w:bCs/>
                <w:color w:val="FFFFFF" w:themeColor="background1"/>
                <w:sz w:val="16"/>
                <w:szCs w:val="15"/>
              </w:rPr>
              <w:t>100%</w:t>
            </w:r>
            <w:r w:rsidRPr="004C753F">
              <w:rPr>
                <w:rStyle w:val="Refdenotaalpie"/>
                <w:rFonts w:ascii="Verdana" w:hAnsi="Verdana"/>
                <w:b/>
                <w:bCs/>
                <w:color w:val="FFFFFF" w:themeColor="background1"/>
                <w:sz w:val="16"/>
                <w:szCs w:val="15"/>
              </w:rPr>
              <w:footnoteReference w:id="6"/>
            </w:r>
          </w:p>
        </w:tc>
        <w:tc>
          <w:tcPr>
            <w:tcW w:w="1792" w:type="dxa"/>
            <w:shd w:val="clear" w:color="auto" w:fill="419DF1"/>
            <w:vAlign w:val="center"/>
          </w:tcPr>
          <w:p w14:paraId="2140C71D" w14:textId="4C826AD2" w:rsidR="007F18CB" w:rsidRPr="004C753F" w:rsidRDefault="00C076C7" w:rsidP="00B57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FFFFFF" w:themeColor="background1"/>
                <w:sz w:val="16"/>
                <w:szCs w:val="15"/>
              </w:rPr>
            </w:pPr>
            <w:r>
              <w:rPr>
                <w:rFonts w:ascii="Verdana" w:hAnsi="Verdana" w:cs="Calibri"/>
                <w:b/>
                <w:bCs/>
                <w:color w:val="FFFFFF" w:themeColor="background1"/>
                <w:sz w:val="16"/>
                <w:szCs w:val="15"/>
              </w:rPr>
              <w:t>9</w:t>
            </w:r>
            <w:r w:rsidR="0028793D">
              <w:rPr>
                <w:rFonts w:ascii="Verdana" w:hAnsi="Verdana" w:cs="Calibri"/>
                <w:b/>
                <w:bCs/>
                <w:color w:val="FFFFFF" w:themeColor="background1"/>
                <w:sz w:val="16"/>
                <w:szCs w:val="15"/>
              </w:rPr>
              <w:t>9</w:t>
            </w:r>
            <w:r w:rsidR="007F18CB">
              <w:rPr>
                <w:rFonts w:ascii="Verdana" w:hAnsi="Verdana" w:cs="Calibri"/>
                <w:b/>
                <w:bCs/>
                <w:color w:val="FFFFFF" w:themeColor="background1"/>
                <w:sz w:val="16"/>
                <w:szCs w:val="15"/>
              </w:rPr>
              <w:t>,</w:t>
            </w:r>
            <w:r w:rsidR="0028793D">
              <w:rPr>
                <w:rFonts w:ascii="Verdana" w:hAnsi="Verdana" w:cs="Calibri"/>
                <w:b/>
                <w:bCs/>
                <w:color w:val="FFFFFF" w:themeColor="background1"/>
                <w:sz w:val="16"/>
                <w:szCs w:val="15"/>
              </w:rPr>
              <w:t>3</w:t>
            </w:r>
            <w:r w:rsidR="007F18CB" w:rsidRPr="004C753F">
              <w:rPr>
                <w:rFonts w:ascii="Verdana" w:hAnsi="Verdana" w:cs="Calibri"/>
                <w:b/>
                <w:bCs/>
                <w:color w:val="FFFFFF" w:themeColor="background1"/>
                <w:sz w:val="16"/>
                <w:szCs w:val="15"/>
              </w:rPr>
              <w:t>%</w:t>
            </w:r>
          </w:p>
        </w:tc>
        <w:tc>
          <w:tcPr>
            <w:tcW w:w="1792" w:type="dxa"/>
            <w:shd w:val="clear" w:color="auto" w:fill="419DF1"/>
            <w:vAlign w:val="center"/>
          </w:tcPr>
          <w:p w14:paraId="4D236C84" w14:textId="2BE3D2BE" w:rsidR="007F18CB" w:rsidRPr="004C753F" w:rsidRDefault="0028793D" w:rsidP="00B57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FFFFFF" w:themeColor="background1"/>
                <w:sz w:val="16"/>
                <w:szCs w:val="15"/>
              </w:rPr>
            </w:pPr>
            <w:r>
              <w:rPr>
                <w:rFonts w:ascii="Verdana" w:hAnsi="Verdana" w:cs="Calibri"/>
                <w:b/>
                <w:bCs/>
                <w:color w:val="FFFFFF" w:themeColor="background1"/>
                <w:sz w:val="16"/>
                <w:szCs w:val="15"/>
              </w:rPr>
              <w:t>0</w:t>
            </w:r>
            <w:r w:rsidR="007F18CB">
              <w:rPr>
                <w:rFonts w:ascii="Verdana" w:hAnsi="Verdana" w:cs="Calibri"/>
                <w:b/>
                <w:bCs/>
                <w:color w:val="FFFFFF" w:themeColor="background1"/>
                <w:sz w:val="16"/>
                <w:szCs w:val="15"/>
              </w:rPr>
              <w:t>,</w:t>
            </w:r>
            <w:r>
              <w:rPr>
                <w:rFonts w:ascii="Verdana" w:hAnsi="Verdana" w:cs="Calibri"/>
                <w:b/>
                <w:bCs/>
                <w:color w:val="FFFFFF" w:themeColor="background1"/>
                <w:sz w:val="16"/>
                <w:szCs w:val="15"/>
              </w:rPr>
              <w:t>7</w:t>
            </w:r>
            <w:r w:rsidR="007F18CB" w:rsidRPr="004C753F">
              <w:rPr>
                <w:rFonts w:ascii="Verdana" w:hAnsi="Verdana" w:cs="Calibri"/>
                <w:b/>
                <w:bCs/>
                <w:color w:val="FFFFFF" w:themeColor="background1"/>
                <w:sz w:val="16"/>
                <w:szCs w:val="15"/>
              </w:rPr>
              <w:t>%</w:t>
            </w:r>
          </w:p>
        </w:tc>
        <w:tc>
          <w:tcPr>
            <w:tcW w:w="1792" w:type="dxa"/>
            <w:shd w:val="clear" w:color="auto" w:fill="419DF1"/>
            <w:vAlign w:val="center"/>
          </w:tcPr>
          <w:p w14:paraId="6306DAA5" w14:textId="4681331D" w:rsidR="007F18CB" w:rsidRPr="004C753F" w:rsidRDefault="0039192F" w:rsidP="00B57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FFFFFF" w:themeColor="background1"/>
                <w:sz w:val="16"/>
                <w:szCs w:val="15"/>
              </w:rPr>
            </w:pPr>
            <w:r>
              <w:rPr>
                <w:rFonts w:ascii="Verdana" w:hAnsi="Verdana" w:cs="Calibri"/>
                <w:b/>
                <w:bCs/>
                <w:color w:val="FFFFFF" w:themeColor="background1"/>
                <w:sz w:val="16"/>
                <w:szCs w:val="15"/>
              </w:rPr>
              <w:t>0</w:t>
            </w:r>
            <w:r w:rsidR="007F18CB">
              <w:rPr>
                <w:rFonts w:ascii="Verdana" w:hAnsi="Verdana" w:cs="Calibri"/>
                <w:b/>
                <w:bCs/>
                <w:color w:val="FFFFFF" w:themeColor="background1"/>
                <w:sz w:val="16"/>
                <w:szCs w:val="15"/>
              </w:rPr>
              <w:t>,</w:t>
            </w:r>
            <w:r>
              <w:rPr>
                <w:rFonts w:ascii="Verdana" w:hAnsi="Verdana" w:cs="Calibri"/>
                <w:b/>
                <w:bCs/>
                <w:color w:val="FFFFFF" w:themeColor="background1"/>
                <w:sz w:val="16"/>
                <w:szCs w:val="15"/>
              </w:rPr>
              <w:t>0</w:t>
            </w:r>
            <w:r w:rsidR="007F18CB" w:rsidRPr="004C753F">
              <w:rPr>
                <w:rFonts w:ascii="Verdana" w:hAnsi="Verdana" w:cs="Calibri"/>
                <w:b/>
                <w:bCs/>
                <w:color w:val="FFFFFF" w:themeColor="background1"/>
                <w:sz w:val="16"/>
                <w:szCs w:val="15"/>
              </w:rPr>
              <w:t>%</w:t>
            </w:r>
          </w:p>
        </w:tc>
      </w:tr>
    </w:tbl>
    <w:p w14:paraId="01DF30DB" w14:textId="77777777" w:rsidR="005F2CD4" w:rsidRPr="006B2569" w:rsidRDefault="005F2CD4" w:rsidP="00647531">
      <w:pPr>
        <w:spacing w:after="120" w:line="264" w:lineRule="auto"/>
        <w:jc w:val="both"/>
        <w:rPr>
          <w:rFonts w:ascii="Verdana" w:hAnsi="Verdana"/>
          <w:sz w:val="6"/>
        </w:rPr>
      </w:pPr>
    </w:p>
    <w:sectPr w:rsidR="005F2CD4" w:rsidRPr="006B2569" w:rsidSect="003E383C">
      <w:pgSz w:w="12240" w:h="15840"/>
      <w:pgMar w:top="720" w:right="75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1765E" w14:textId="77777777" w:rsidR="00A46329" w:rsidRDefault="00A46329" w:rsidP="0054182D">
      <w:pPr>
        <w:spacing w:after="0" w:line="240" w:lineRule="auto"/>
      </w:pPr>
      <w:r>
        <w:separator/>
      </w:r>
    </w:p>
  </w:endnote>
  <w:endnote w:type="continuationSeparator" w:id="0">
    <w:p w14:paraId="5B8938E8" w14:textId="77777777" w:rsidR="00A46329" w:rsidRDefault="00A46329" w:rsidP="0054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A63D4" w14:textId="77777777" w:rsidR="00A46329" w:rsidRDefault="00A46329" w:rsidP="0054182D">
      <w:pPr>
        <w:spacing w:after="0" w:line="240" w:lineRule="auto"/>
      </w:pPr>
      <w:r>
        <w:separator/>
      </w:r>
    </w:p>
  </w:footnote>
  <w:footnote w:type="continuationSeparator" w:id="0">
    <w:p w14:paraId="58D67685" w14:textId="77777777" w:rsidR="00A46329" w:rsidRDefault="00A46329" w:rsidP="0054182D">
      <w:pPr>
        <w:spacing w:after="0" w:line="240" w:lineRule="auto"/>
      </w:pPr>
      <w:r>
        <w:continuationSeparator/>
      </w:r>
    </w:p>
  </w:footnote>
  <w:footnote w:id="1">
    <w:p w14:paraId="61B441ED" w14:textId="77777777" w:rsidR="007F18CB" w:rsidRPr="00037A2C" w:rsidRDefault="007F18CB" w:rsidP="005D0114">
      <w:pPr>
        <w:pStyle w:val="Textonotapie"/>
        <w:jc w:val="both"/>
        <w:rPr>
          <w:rFonts w:ascii="Verdana" w:hAnsi="Verdana"/>
          <w:sz w:val="14"/>
          <w:szCs w:val="16"/>
        </w:rPr>
      </w:pPr>
      <w:r w:rsidRPr="00037A2C">
        <w:rPr>
          <w:rStyle w:val="Refdenotaalpie"/>
          <w:rFonts w:ascii="Verdana" w:hAnsi="Verdana"/>
          <w:sz w:val="14"/>
          <w:szCs w:val="16"/>
        </w:rPr>
        <w:footnoteRef/>
      </w:r>
      <w:r w:rsidRPr="00037A2C">
        <w:rPr>
          <w:rFonts w:ascii="Verdana" w:hAnsi="Verdana"/>
          <w:sz w:val="14"/>
          <w:szCs w:val="16"/>
        </w:rPr>
        <w:t xml:space="preserve"> </w:t>
      </w:r>
      <w:r w:rsidRPr="00037A2C">
        <w:rPr>
          <w:rFonts w:ascii="Verdana" w:hAnsi="Verdana"/>
          <w:sz w:val="15"/>
          <w:szCs w:val="15"/>
        </w:rPr>
        <w:t>Son los subsidios asignados descontados los subsidios renunciados. Corresponden a los subsidios que efectivamente se van a ejecutar.</w:t>
      </w:r>
      <w:r>
        <w:rPr>
          <w:rFonts w:ascii="Verdana" w:hAnsi="Verdana"/>
          <w:sz w:val="15"/>
          <w:szCs w:val="15"/>
        </w:rPr>
        <w:t xml:space="preserve"> </w:t>
      </w:r>
    </w:p>
  </w:footnote>
  <w:footnote w:id="2">
    <w:p w14:paraId="5B520A5F" w14:textId="77777777" w:rsidR="007F18CB" w:rsidRPr="00037A2C" w:rsidRDefault="007F18CB" w:rsidP="005D0114">
      <w:pPr>
        <w:pStyle w:val="Textonotapie"/>
        <w:jc w:val="both"/>
        <w:rPr>
          <w:rFonts w:ascii="Verdana" w:hAnsi="Verdana"/>
          <w:sz w:val="14"/>
          <w:szCs w:val="16"/>
        </w:rPr>
      </w:pPr>
      <w:r w:rsidRPr="00037A2C">
        <w:rPr>
          <w:rStyle w:val="Refdenotaalpie"/>
          <w:rFonts w:ascii="Verdana" w:hAnsi="Verdana"/>
          <w:sz w:val="14"/>
          <w:szCs w:val="16"/>
        </w:rPr>
        <w:footnoteRef/>
      </w:r>
      <w:r w:rsidRPr="00037A2C">
        <w:rPr>
          <w:rFonts w:ascii="Verdana" w:hAnsi="Verdana"/>
          <w:sz w:val="14"/>
          <w:szCs w:val="16"/>
        </w:rPr>
        <w:t xml:space="preserve"> </w:t>
      </w:r>
      <w:r w:rsidRPr="00037A2C">
        <w:rPr>
          <w:rFonts w:ascii="Verdana" w:hAnsi="Verdana"/>
          <w:sz w:val="15"/>
          <w:szCs w:val="15"/>
        </w:rPr>
        <w:t xml:space="preserve">Son los subsidios de </w:t>
      </w:r>
      <w:r>
        <w:rPr>
          <w:rFonts w:ascii="Verdana" w:hAnsi="Verdana"/>
          <w:sz w:val="15"/>
          <w:szCs w:val="15"/>
        </w:rPr>
        <w:t xml:space="preserve">banco de materiales, </w:t>
      </w:r>
      <w:r w:rsidRPr="00037A2C">
        <w:rPr>
          <w:rFonts w:ascii="Verdana" w:hAnsi="Verdana"/>
          <w:sz w:val="15"/>
          <w:szCs w:val="15"/>
        </w:rPr>
        <w:t>reparación y construcción de vi</w:t>
      </w:r>
      <w:r>
        <w:rPr>
          <w:rFonts w:ascii="Verdana" w:hAnsi="Verdana"/>
          <w:sz w:val="15"/>
          <w:szCs w:val="15"/>
        </w:rPr>
        <w:t>viendas que han terminado obras</w:t>
      </w:r>
      <w:r w:rsidRPr="00037A2C">
        <w:rPr>
          <w:rFonts w:ascii="Verdana" w:hAnsi="Verdana"/>
          <w:sz w:val="15"/>
          <w:szCs w:val="15"/>
        </w:rPr>
        <w:t>.</w:t>
      </w:r>
    </w:p>
  </w:footnote>
  <w:footnote w:id="3">
    <w:p w14:paraId="7564C037" w14:textId="77777777" w:rsidR="007F18CB" w:rsidRPr="00037A2C" w:rsidRDefault="007F18CB" w:rsidP="003E383C">
      <w:pPr>
        <w:pStyle w:val="Textonotapie"/>
        <w:jc w:val="both"/>
        <w:rPr>
          <w:rFonts w:ascii="Verdana" w:hAnsi="Verdana"/>
          <w:sz w:val="14"/>
          <w:szCs w:val="16"/>
        </w:rPr>
      </w:pPr>
      <w:r w:rsidRPr="00037A2C">
        <w:rPr>
          <w:rStyle w:val="Refdenotaalpie"/>
          <w:rFonts w:ascii="Verdana" w:hAnsi="Verdana"/>
          <w:sz w:val="14"/>
          <w:szCs w:val="16"/>
        </w:rPr>
        <w:footnoteRef/>
      </w:r>
      <w:r w:rsidRPr="00037A2C">
        <w:rPr>
          <w:rFonts w:ascii="Verdana" w:hAnsi="Verdana"/>
          <w:sz w:val="14"/>
          <w:szCs w:val="16"/>
        </w:rPr>
        <w:t xml:space="preserve"> </w:t>
      </w:r>
      <w:r w:rsidRPr="00037A2C">
        <w:rPr>
          <w:rFonts w:ascii="Verdana" w:hAnsi="Verdana"/>
          <w:sz w:val="15"/>
          <w:szCs w:val="15"/>
        </w:rPr>
        <w:t xml:space="preserve">Son los subsidios de </w:t>
      </w:r>
      <w:r>
        <w:rPr>
          <w:rFonts w:ascii="Verdana" w:hAnsi="Verdana"/>
          <w:sz w:val="15"/>
          <w:szCs w:val="15"/>
        </w:rPr>
        <w:t xml:space="preserve">banco de materiales, </w:t>
      </w:r>
      <w:r w:rsidRPr="00037A2C">
        <w:rPr>
          <w:rFonts w:ascii="Verdana" w:hAnsi="Verdana"/>
          <w:sz w:val="15"/>
          <w:szCs w:val="15"/>
        </w:rPr>
        <w:t>reparación y construcción de viviendas que han in</w:t>
      </w:r>
      <w:r>
        <w:rPr>
          <w:rFonts w:ascii="Verdana" w:hAnsi="Verdana"/>
          <w:sz w:val="15"/>
          <w:szCs w:val="15"/>
        </w:rPr>
        <w:t>iciado obras y no han terminado.</w:t>
      </w:r>
    </w:p>
  </w:footnote>
  <w:footnote w:id="4">
    <w:p w14:paraId="352EF8CA" w14:textId="77777777" w:rsidR="007F18CB" w:rsidRPr="00037A2C" w:rsidRDefault="007F18CB" w:rsidP="005D0114">
      <w:pPr>
        <w:pStyle w:val="Textonotapie"/>
        <w:jc w:val="both"/>
        <w:rPr>
          <w:rFonts w:ascii="Verdana" w:hAnsi="Verdana"/>
          <w:sz w:val="14"/>
          <w:szCs w:val="16"/>
        </w:rPr>
      </w:pPr>
      <w:r w:rsidRPr="00037A2C">
        <w:rPr>
          <w:rStyle w:val="Refdenotaalpie"/>
          <w:rFonts w:ascii="Verdana" w:hAnsi="Verdana"/>
          <w:sz w:val="14"/>
          <w:szCs w:val="16"/>
        </w:rPr>
        <w:footnoteRef/>
      </w:r>
      <w:r w:rsidRPr="00037A2C">
        <w:rPr>
          <w:rFonts w:ascii="Verdana" w:hAnsi="Verdana"/>
          <w:sz w:val="14"/>
          <w:szCs w:val="16"/>
        </w:rPr>
        <w:t xml:space="preserve"> </w:t>
      </w:r>
      <w:r w:rsidRPr="00037A2C">
        <w:rPr>
          <w:rFonts w:ascii="Verdana" w:hAnsi="Verdana"/>
          <w:sz w:val="15"/>
          <w:szCs w:val="15"/>
        </w:rPr>
        <w:t xml:space="preserve">Son los subsidios de </w:t>
      </w:r>
      <w:r>
        <w:rPr>
          <w:rFonts w:ascii="Verdana" w:hAnsi="Verdana"/>
          <w:sz w:val="15"/>
          <w:szCs w:val="15"/>
        </w:rPr>
        <w:t xml:space="preserve">banco de materiales, </w:t>
      </w:r>
      <w:r w:rsidRPr="00037A2C">
        <w:rPr>
          <w:rFonts w:ascii="Verdana" w:hAnsi="Verdana"/>
          <w:sz w:val="15"/>
          <w:szCs w:val="15"/>
        </w:rPr>
        <w:t>reparación y construcción de viviendas que no han iniciado obras.</w:t>
      </w:r>
    </w:p>
  </w:footnote>
  <w:footnote w:id="5">
    <w:p w14:paraId="660B2C21" w14:textId="50ED15A5" w:rsidR="007F18CB" w:rsidRPr="006C4C4D" w:rsidRDefault="007F18CB" w:rsidP="00D71C74">
      <w:pPr>
        <w:pStyle w:val="Textonotapie"/>
        <w:jc w:val="both"/>
        <w:rPr>
          <w:rFonts w:ascii="Verdana" w:eastAsiaTheme="minorHAnsi" w:hAnsi="Verdana" w:cstheme="minorBidi"/>
          <w:sz w:val="15"/>
          <w:szCs w:val="15"/>
        </w:rPr>
      </w:pPr>
      <w:r w:rsidRPr="006C4C4D">
        <w:rPr>
          <w:rStyle w:val="Refdenotaalpie"/>
          <w:rFonts w:ascii="Verdana" w:hAnsi="Verdana"/>
          <w:sz w:val="14"/>
          <w:szCs w:val="16"/>
        </w:rPr>
        <w:footnoteRef/>
      </w:r>
      <w:r w:rsidRPr="006C4C4D">
        <w:rPr>
          <w:rStyle w:val="Refdenotaalpie"/>
          <w:rFonts w:ascii="Verdana" w:hAnsi="Verdana"/>
          <w:sz w:val="14"/>
          <w:szCs w:val="16"/>
        </w:rPr>
        <w:t xml:space="preserve"> </w:t>
      </w:r>
      <w:r w:rsidRPr="006C4C4D">
        <w:rPr>
          <w:rFonts w:ascii="Verdana" w:eastAsiaTheme="minorHAnsi" w:hAnsi="Verdana" w:cstheme="minorBidi"/>
          <w:sz w:val="15"/>
          <w:szCs w:val="15"/>
        </w:rPr>
        <w:t xml:space="preserve">El universo inicial de damnificados a atender fue de </w:t>
      </w:r>
      <w:r>
        <w:rPr>
          <w:rFonts w:ascii="Verdana" w:eastAsiaTheme="minorHAnsi" w:hAnsi="Verdana" w:cstheme="minorBidi"/>
          <w:sz w:val="15"/>
          <w:szCs w:val="15"/>
        </w:rPr>
        <w:t>7</w:t>
      </w:r>
      <w:r w:rsidR="00647531">
        <w:rPr>
          <w:rFonts w:ascii="Verdana" w:eastAsiaTheme="minorHAnsi" w:hAnsi="Verdana" w:cstheme="minorBidi"/>
          <w:sz w:val="15"/>
          <w:szCs w:val="15"/>
        </w:rPr>
        <w:t>72</w:t>
      </w:r>
      <w:r w:rsidRPr="006C4C4D">
        <w:rPr>
          <w:rFonts w:ascii="Verdana" w:eastAsiaTheme="minorHAnsi" w:hAnsi="Verdana" w:cstheme="minorBidi"/>
          <w:sz w:val="15"/>
          <w:szCs w:val="15"/>
        </w:rPr>
        <w:t>. Producto de renuncias y/o pérdida de vigencia del subsidio asignado, durante el proceso (</w:t>
      </w:r>
      <w:r w:rsidR="00647531">
        <w:rPr>
          <w:rFonts w:ascii="Verdana" w:eastAsiaTheme="minorHAnsi" w:hAnsi="Verdana" w:cstheme="minorBidi"/>
          <w:sz w:val="15"/>
          <w:szCs w:val="15"/>
        </w:rPr>
        <w:t>41</w:t>
      </w:r>
      <w:r w:rsidRPr="006C4C4D">
        <w:rPr>
          <w:rFonts w:ascii="Verdana" w:eastAsiaTheme="minorHAnsi" w:hAnsi="Verdana" w:cstheme="minorBidi"/>
          <w:sz w:val="15"/>
          <w:szCs w:val="15"/>
        </w:rPr>
        <w:t xml:space="preserve">); el universo de soluciones es de </w:t>
      </w:r>
      <w:r>
        <w:rPr>
          <w:rFonts w:ascii="Verdana" w:eastAsiaTheme="minorHAnsi" w:hAnsi="Verdana" w:cstheme="minorBidi"/>
          <w:sz w:val="15"/>
          <w:szCs w:val="15"/>
        </w:rPr>
        <w:t>73</w:t>
      </w:r>
      <w:r w:rsidR="00647531">
        <w:rPr>
          <w:rFonts w:ascii="Verdana" w:eastAsiaTheme="minorHAnsi" w:hAnsi="Verdana" w:cstheme="minorBidi"/>
          <w:sz w:val="15"/>
          <w:szCs w:val="15"/>
        </w:rPr>
        <w:t>1</w:t>
      </w:r>
      <w:r>
        <w:rPr>
          <w:rFonts w:ascii="Verdana" w:eastAsiaTheme="minorHAnsi" w:hAnsi="Verdana" w:cstheme="minorBidi"/>
          <w:sz w:val="15"/>
          <w:szCs w:val="15"/>
        </w:rPr>
        <w:t xml:space="preserve">, </w:t>
      </w:r>
      <w:r w:rsidR="00D20719">
        <w:rPr>
          <w:rFonts w:ascii="Verdana" w:eastAsiaTheme="minorHAnsi" w:hAnsi="Verdana" w:cstheme="minorBidi"/>
          <w:sz w:val="15"/>
          <w:szCs w:val="15"/>
        </w:rPr>
        <w:t xml:space="preserve">todas ellas </w:t>
      </w:r>
      <w:r>
        <w:rPr>
          <w:rFonts w:ascii="Verdana" w:eastAsiaTheme="minorHAnsi" w:hAnsi="Verdana" w:cstheme="minorBidi"/>
          <w:sz w:val="15"/>
          <w:szCs w:val="15"/>
        </w:rPr>
        <w:t>con subsidio asignado y vigente.</w:t>
      </w:r>
    </w:p>
  </w:footnote>
  <w:footnote w:id="6">
    <w:p w14:paraId="55A8EA85" w14:textId="48F931F3" w:rsidR="007F18CB" w:rsidRPr="006C4C4D" w:rsidRDefault="007F18CB" w:rsidP="006F0575">
      <w:pPr>
        <w:pStyle w:val="Textonotapie"/>
        <w:jc w:val="both"/>
        <w:rPr>
          <w:rFonts w:ascii="Verdana" w:eastAsiaTheme="minorHAnsi" w:hAnsi="Verdana" w:cstheme="minorBidi"/>
          <w:sz w:val="15"/>
          <w:szCs w:val="15"/>
        </w:rPr>
      </w:pPr>
      <w:r w:rsidRPr="006C4C4D">
        <w:rPr>
          <w:rStyle w:val="Refdenotaalpie"/>
          <w:rFonts w:ascii="Verdana" w:hAnsi="Verdana"/>
          <w:sz w:val="14"/>
          <w:szCs w:val="16"/>
        </w:rPr>
        <w:footnoteRef/>
      </w:r>
      <w:r w:rsidRPr="006C4C4D">
        <w:rPr>
          <w:rStyle w:val="Refdenotaalpie"/>
          <w:rFonts w:ascii="Verdana" w:hAnsi="Verdana"/>
          <w:sz w:val="14"/>
          <w:szCs w:val="16"/>
        </w:rPr>
        <w:t xml:space="preserve"> </w:t>
      </w:r>
      <w:r>
        <w:rPr>
          <w:rFonts w:ascii="Verdana" w:eastAsiaTheme="minorHAnsi" w:hAnsi="Verdana" w:cstheme="minorBidi"/>
          <w:sz w:val="15"/>
          <w:szCs w:val="15"/>
        </w:rPr>
        <w:t>Porcentaje calculado en base al universo de 73</w:t>
      </w:r>
      <w:r w:rsidR="00D20719">
        <w:rPr>
          <w:rFonts w:ascii="Verdana" w:eastAsiaTheme="minorHAnsi" w:hAnsi="Verdana" w:cstheme="minorBidi"/>
          <w:sz w:val="15"/>
          <w:szCs w:val="15"/>
        </w:rPr>
        <w:t>1</w:t>
      </w:r>
      <w:r>
        <w:rPr>
          <w:rFonts w:ascii="Verdana" w:eastAsiaTheme="minorHAnsi" w:hAnsi="Verdana" w:cstheme="minorBidi"/>
          <w:sz w:val="15"/>
          <w:szCs w:val="15"/>
        </w:rPr>
        <w:t xml:space="preserve"> familias a atender.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087D"/>
    <w:multiLevelType w:val="hybridMultilevel"/>
    <w:tmpl w:val="85C43F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4582D"/>
    <w:multiLevelType w:val="hybridMultilevel"/>
    <w:tmpl w:val="E79C09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D20D6"/>
    <w:multiLevelType w:val="hybridMultilevel"/>
    <w:tmpl w:val="0F6273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681689">
    <w:abstractNumId w:val="2"/>
  </w:num>
  <w:num w:numId="2" w16cid:durableId="43255712">
    <w:abstractNumId w:val="0"/>
  </w:num>
  <w:num w:numId="3" w16cid:durableId="1142506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34"/>
    <w:rsid w:val="0000637C"/>
    <w:rsid w:val="000139F6"/>
    <w:rsid w:val="00033668"/>
    <w:rsid w:val="0003639A"/>
    <w:rsid w:val="000471C2"/>
    <w:rsid w:val="000552D8"/>
    <w:rsid w:val="000566D7"/>
    <w:rsid w:val="00065D47"/>
    <w:rsid w:val="00066747"/>
    <w:rsid w:val="00070104"/>
    <w:rsid w:val="00071EEF"/>
    <w:rsid w:val="000749EF"/>
    <w:rsid w:val="000769E7"/>
    <w:rsid w:val="00081723"/>
    <w:rsid w:val="00085BB5"/>
    <w:rsid w:val="000A7769"/>
    <w:rsid w:val="000B567B"/>
    <w:rsid w:val="000E3188"/>
    <w:rsid w:val="000E6D8B"/>
    <w:rsid w:val="000E7CC5"/>
    <w:rsid w:val="000F06A1"/>
    <w:rsid w:val="001024C6"/>
    <w:rsid w:val="00107C99"/>
    <w:rsid w:val="001336C6"/>
    <w:rsid w:val="00167815"/>
    <w:rsid w:val="00175C84"/>
    <w:rsid w:val="001A749E"/>
    <w:rsid w:val="001C4FDA"/>
    <w:rsid w:val="00213DED"/>
    <w:rsid w:val="0021773E"/>
    <w:rsid w:val="002178A4"/>
    <w:rsid w:val="0022694B"/>
    <w:rsid w:val="002437A3"/>
    <w:rsid w:val="00260497"/>
    <w:rsid w:val="00261E06"/>
    <w:rsid w:val="0028793D"/>
    <w:rsid w:val="002A0671"/>
    <w:rsid w:val="002E7395"/>
    <w:rsid w:val="00300AEE"/>
    <w:rsid w:val="00301A1A"/>
    <w:rsid w:val="00313917"/>
    <w:rsid w:val="00335C6A"/>
    <w:rsid w:val="00344051"/>
    <w:rsid w:val="00362369"/>
    <w:rsid w:val="00372A16"/>
    <w:rsid w:val="00387276"/>
    <w:rsid w:val="0039192F"/>
    <w:rsid w:val="003B0EF1"/>
    <w:rsid w:val="003C09ED"/>
    <w:rsid w:val="003C2152"/>
    <w:rsid w:val="003C7E5B"/>
    <w:rsid w:val="003D0F83"/>
    <w:rsid w:val="003D1B9E"/>
    <w:rsid w:val="003E383C"/>
    <w:rsid w:val="003E4DF5"/>
    <w:rsid w:val="003F07A2"/>
    <w:rsid w:val="003F13D2"/>
    <w:rsid w:val="00416A5E"/>
    <w:rsid w:val="0043581B"/>
    <w:rsid w:val="004359E4"/>
    <w:rsid w:val="00437182"/>
    <w:rsid w:val="004440AA"/>
    <w:rsid w:val="00446FA4"/>
    <w:rsid w:val="0046512C"/>
    <w:rsid w:val="0046733B"/>
    <w:rsid w:val="00485753"/>
    <w:rsid w:val="00490CC1"/>
    <w:rsid w:val="00492392"/>
    <w:rsid w:val="0049250F"/>
    <w:rsid w:val="00496797"/>
    <w:rsid w:val="004C7095"/>
    <w:rsid w:val="004C753F"/>
    <w:rsid w:val="004F6AD0"/>
    <w:rsid w:val="00500382"/>
    <w:rsid w:val="005026C2"/>
    <w:rsid w:val="00507238"/>
    <w:rsid w:val="00534292"/>
    <w:rsid w:val="00540A34"/>
    <w:rsid w:val="0054182D"/>
    <w:rsid w:val="005421E4"/>
    <w:rsid w:val="00545F1B"/>
    <w:rsid w:val="00546DFC"/>
    <w:rsid w:val="00554706"/>
    <w:rsid w:val="00571036"/>
    <w:rsid w:val="00580439"/>
    <w:rsid w:val="005828B8"/>
    <w:rsid w:val="0059003D"/>
    <w:rsid w:val="005A0378"/>
    <w:rsid w:val="005A2D03"/>
    <w:rsid w:val="005A5436"/>
    <w:rsid w:val="005A699E"/>
    <w:rsid w:val="005C136E"/>
    <w:rsid w:val="005D0114"/>
    <w:rsid w:val="005E4C69"/>
    <w:rsid w:val="005E5D68"/>
    <w:rsid w:val="005F2CD4"/>
    <w:rsid w:val="00601BFE"/>
    <w:rsid w:val="0061490C"/>
    <w:rsid w:val="00626481"/>
    <w:rsid w:val="0062655C"/>
    <w:rsid w:val="006279BE"/>
    <w:rsid w:val="00632B34"/>
    <w:rsid w:val="00640679"/>
    <w:rsid w:val="0064357C"/>
    <w:rsid w:val="00643BEB"/>
    <w:rsid w:val="00647531"/>
    <w:rsid w:val="00662479"/>
    <w:rsid w:val="006711B8"/>
    <w:rsid w:val="00672D50"/>
    <w:rsid w:val="006A4B59"/>
    <w:rsid w:val="006B2569"/>
    <w:rsid w:val="006C6BA2"/>
    <w:rsid w:val="006D010F"/>
    <w:rsid w:val="006D083B"/>
    <w:rsid w:val="006D4534"/>
    <w:rsid w:val="006F0575"/>
    <w:rsid w:val="006F6AEB"/>
    <w:rsid w:val="006F70D6"/>
    <w:rsid w:val="007162B7"/>
    <w:rsid w:val="007378A3"/>
    <w:rsid w:val="00737F66"/>
    <w:rsid w:val="007533A9"/>
    <w:rsid w:val="00756DD8"/>
    <w:rsid w:val="0076593E"/>
    <w:rsid w:val="00777650"/>
    <w:rsid w:val="00780BC7"/>
    <w:rsid w:val="007A64E9"/>
    <w:rsid w:val="007B03C6"/>
    <w:rsid w:val="007B11D5"/>
    <w:rsid w:val="007B15ED"/>
    <w:rsid w:val="007B3000"/>
    <w:rsid w:val="007C3EC4"/>
    <w:rsid w:val="007E0C50"/>
    <w:rsid w:val="007F18CB"/>
    <w:rsid w:val="007F7DC9"/>
    <w:rsid w:val="00813855"/>
    <w:rsid w:val="00815B5A"/>
    <w:rsid w:val="008171A3"/>
    <w:rsid w:val="008235CD"/>
    <w:rsid w:val="008301E5"/>
    <w:rsid w:val="00835317"/>
    <w:rsid w:val="00847272"/>
    <w:rsid w:val="00855F92"/>
    <w:rsid w:val="0086201C"/>
    <w:rsid w:val="00867F16"/>
    <w:rsid w:val="00872116"/>
    <w:rsid w:val="008735D9"/>
    <w:rsid w:val="00876C6D"/>
    <w:rsid w:val="00876D11"/>
    <w:rsid w:val="008952F0"/>
    <w:rsid w:val="008A4A16"/>
    <w:rsid w:val="008C71CE"/>
    <w:rsid w:val="008F603E"/>
    <w:rsid w:val="008F69CD"/>
    <w:rsid w:val="009231B2"/>
    <w:rsid w:val="009578EA"/>
    <w:rsid w:val="0096299A"/>
    <w:rsid w:val="0096363C"/>
    <w:rsid w:val="00964783"/>
    <w:rsid w:val="00967EEE"/>
    <w:rsid w:val="00990C13"/>
    <w:rsid w:val="009956F1"/>
    <w:rsid w:val="00995A8A"/>
    <w:rsid w:val="009A10F0"/>
    <w:rsid w:val="009A53E3"/>
    <w:rsid w:val="009B184E"/>
    <w:rsid w:val="009B5EF4"/>
    <w:rsid w:val="009C14B6"/>
    <w:rsid w:val="009C25B4"/>
    <w:rsid w:val="009E2A39"/>
    <w:rsid w:val="009F1D47"/>
    <w:rsid w:val="009F5858"/>
    <w:rsid w:val="009F5F27"/>
    <w:rsid w:val="00A11392"/>
    <w:rsid w:val="00A13196"/>
    <w:rsid w:val="00A32C20"/>
    <w:rsid w:val="00A34171"/>
    <w:rsid w:val="00A3782B"/>
    <w:rsid w:val="00A40D54"/>
    <w:rsid w:val="00A46329"/>
    <w:rsid w:val="00A84524"/>
    <w:rsid w:val="00A846BB"/>
    <w:rsid w:val="00AA3327"/>
    <w:rsid w:val="00AA37D4"/>
    <w:rsid w:val="00AA3D14"/>
    <w:rsid w:val="00AA7AD8"/>
    <w:rsid w:val="00AA7DDF"/>
    <w:rsid w:val="00AB3957"/>
    <w:rsid w:val="00AB4B9A"/>
    <w:rsid w:val="00AC7844"/>
    <w:rsid w:val="00B0255A"/>
    <w:rsid w:val="00B029B1"/>
    <w:rsid w:val="00B02A37"/>
    <w:rsid w:val="00B112F9"/>
    <w:rsid w:val="00B12301"/>
    <w:rsid w:val="00B272C6"/>
    <w:rsid w:val="00B34AC9"/>
    <w:rsid w:val="00B544EF"/>
    <w:rsid w:val="00B5783A"/>
    <w:rsid w:val="00B627A0"/>
    <w:rsid w:val="00B725C2"/>
    <w:rsid w:val="00BA30C4"/>
    <w:rsid w:val="00BA739B"/>
    <w:rsid w:val="00BC7BCA"/>
    <w:rsid w:val="00BF2F85"/>
    <w:rsid w:val="00C05B4D"/>
    <w:rsid w:val="00C065F2"/>
    <w:rsid w:val="00C076C7"/>
    <w:rsid w:val="00C10438"/>
    <w:rsid w:val="00C23CD6"/>
    <w:rsid w:val="00C507E4"/>
    <w:rsid w:val="00C53C3D"/>
    <w:rsid w:val="00C57165"/>
    <w:rsid w:val="00C73B46"/>
    <w:rsid w:val="00C763A0"/>
    <w:rsid w:val="00C8186E"/>
    <w:rsid w:val="00C81C70"/>
    <w:rsid w:val="00C85445"/>
    <w:rsid w:val="00C91615"/>
    <w:rsid w:val="00CA1344"/>
    <w:rsid w:val="00CA22C3"/>
    <w:rsid w:val="00CC5E53"/>
    <w:rsid w:val="00CC7824"/>
    <w:rsid w:val="00CE2A70"/>
    <w:rsid w:val="00D02897"/>
    <w:rsid w:val="00D15400"/>
    <w:rsid w:val="00D20719"/>
    <w:rsid w:val="00D53760"/>
    <w:rsid w:val="00D65140"/>
    <w:rsid w:val="00D67716"/>
    <w:rsid w:val="00D71C74"/>
    <w:rsid w:val="00D7595A"/>
    <w:rsid w:val="00D84371"/>
    <w:rsid w:val="00D924E3"/>
    <w:rsid w:val="00DA1D69"/>
    <w:rsid w:val="00DA528F"/>
    <w:rsid w:val="00DA7F79"/>
    <w:rsid w:val="00DC1DA0"/>
    <w:rsid w:val="00DC51F6"/>
    <w:rsid w:val="00DD175E"/>
    <w:rsid w:val="00DD1FAA"/>
    <w:rsid w:val="00DD43AD"/>
    <w:rsid w:val="00DE10B9"/>
    <w:rsid w:val="00DF2420"/>
    <w:rsid w:val="00E01C60"/>
    <w:rsid w:val="00E27CDC"/>
    <w:rsid w:val="00E47A7F"/>
    <w:rsid w:val="00E51236"/>
    <w:rsid w:val="00E61C1E"/>
    <w:rsid w:val="00E65D4B"/>
    <w:rsid w:val="00E74E54"/>
    <w:rsid w:val="00E853BE"/>
    <w:rsid w:val="00E85ECF"/>
    <w:rsid w:val="00E927A3"/>
    <w:rsid w:val="00EA0256"/>
    <w:rsid w:val="00EA108D"/>
    <w:rsid w:val="00EB2257"/>
    <w:rsid w:val="00EC0535"/>
    <w:rsid w:val="00ED75B3"/>
    <w:rsid w:val="00EF00F2"/>
    <w:rsid w:val="00F072C8"/>
    <w:rsid w:val="00F30048"/>
    <w:rsid w:val="00F344F5"/>
    <w:rsid w:val="00F44AC0"/>
    <w:rsid w:val="00F54612"/>
    <w:rsid w:val="00F54668"/>
    <w:rsid w:val="00F70E2F"/>
    <w:rsid w:val="00F71DEA"/>
    <w:rsid w:val="00F81E16"/>
    <w:rsid w:val="00F976E7"/>
    <w:rsid w:val="00FC0797"/>
    <w:rsid w:val="00FC4250"/>
    <w:rsid w:val="00FD7DA5"/>
    <w:rsid w:val="00FE3D88"/>
    <w:rsid w:val="00FE57EE"/>
    <w:rsid w:val="00FE6AD1"/>
    <w:rsid w:val="00FE752D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D09E"/>
  <w15:chartTrackingRefBased/>
  <w15:docId w15:val="{62C04770-C3E8-4BE0-A3A5-55CE1712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4182D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4182D"/>
    <w:rPr>
      <w:rFonts w:ascii="Cambria" w:eastAsia="Cambria" w:hAnsi="Cambria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4182D"/>
    <w:rPr>
      <w:vertAlign w:val="superscript"/>
    </w:rPr>
  </w:style>
  <w:style w:type="paragraph" w:styleId="Descripcin">
    <w:name w:val="caption"/>
    <w:basedOn w:val="Normal"/>
    <w:next w:val="Normal"/>
    <w:uiPriority w:val="35"/>
    <w:unhideWhenUsed/>
    <w:qFormat/>
    <w:rsid w:val="0054182D"/>
    <w:pPr>
      <w:spacing w:after="200" w:line="240" w:lineRule="auto"/>
    </w:pPr>
    <w:rPr>
      <w:rFonts w:ascii="Cambria" w:eastAsia="Cambria" w:hAnsi="Cambria" w:cs="Times New Roman"/>
      <w:b/>
      <w:bCs/>
      <w:color w:val="4472C4" w:themeColor="accent1"/>
      <w:sz w:val="18"/>
      <w:szCs w:val="18"/>
    </w:rPr>
  </w:style>
  <w:style w:type="table" w:styleId="Tablaconcuadrcula4-nfasis3">
    <w:name w:val="Grid Table 4 Accent 3"/>
    <w:basedOn w:val="Tablanormal"/>
    <w:uiPriority w:val="49"/>
    <w:rsid w:val="00A32C2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5">
    <w:name w:val="Grid Table 4 Accent 5"/>
    <w:basedOn w:val="Tablanormal"/>
    <w:uiPriority w:val="49"/>
    <w:rsid w:val="00A32C2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A32C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Prrafodelista">
    <w:name w:val="List Paragraph"/>
    <w:basedOn w:val="Normal"/>
    <w:uiPriority w:val="34"/>
    <w:qFormat/>
    <w:rsid w:val="008C71C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table" w:styleId="Tabladelista4-nfasis1">
    <w:name w:val="List Table 4 Accent 1"/>
    <w:basedOn w:val="Tablanormal"/>
    <w:uiPriority w:val="49"/>
    <w:rsid w:val="005C136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FF68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sv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2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Calderon Orellana</dc:creator>
  <cp:keywords/>
  <dc:description/>
  <cp:lastModifiedBy>Alejandra Reyes Lizama</cp:lastModifiedBy>
  <cp:revision>129</cp:revision>
  <cp:lastPrinted>2023-03-16T18:58:00Z</cp:lastPrinted>
  <dcterms:created xsi:type="dcterms:W3CDTF">2020-01-31T17:27:00Z</dcterms:created>
  <dcterms:modified xsi:type="dcterms:W3CDTF">2023-03-16T18:59:00Z</dcterms:modified>
</cp:coreProperties>
</file>